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1FFD" w14:textId="55E1E160" w:rsidR="00F22DA3" w:rsidRDefault="00AE76C9" w:rsidP="000D2CE8">
      <w:pPr>
        <w:jc w:val="center"/>
        <w:rPr>
          <w:rFonts w:ascii="Arial" w:hAnsi="Arial" w:cs="Arial"/>
          <w:sz w:val="28"/>
          <w:szCs w:val="28"/>
        </w:rPr>
      </w:pPr>
      <w:r>
        <w:rPr>
          <w:noProof/>
        </w:rPr>
        <w:drawing>
          <wp:inline distT="0" distB="0" distL="0" distR="0" wp14:anchorId="26EE5EB8" wp14:editId="0E405AA3">
            <wp:extent cx="1657350" cy="1657350"/>
            <wp:effectExtent l="0" t="0" r="0" b="0"/>
            <wp:docPr id="1" name="Picture 1"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logo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14:paraId="7778A1A1" w14:textId="7589DACE" w:rsidR="00CC4169" w:rsidRPr="00506589" w:rsidRDefault="00CC4169" w:rsidP="000D2CE8">
      <w:pPr>
        <w:jc w:val="center"/>
        <w:rPr>
          <w:rFonts w:ascii="Arial" w:hAnsi="Arial" w:cs="Arial"/>
          <w:i/>
          <w:sz w:val="28"/>
          <w:szCs w:val="28"/>
        </w:rPr>
      </w:pPr>
    </w:p>
    <w:p w14:paraId="28D22B3B" w14:textId="5EBD3F43" w:rsidR="0005541B" w:rsidRDefault="0005541B" w:rsidP="000D2CE8">
      <w:pPr>
        <w:jc w:val="center"/>
        <w:rPr>
          <w:rFonts w:ascii="Arial" w:hAnsi="Arial" w:cs="Arial"/>
          <w:b/>
          <w:sz w:val="28"/>
          <w:szCs w:val="28"/>
        </w:rPr>
      </w:pPr>
    </w:p>
    <w:p w14:paraId="17EF47EF" w14:textId="74E1EC08" w:rsidR="009D69A8" w:rsidRDefault="009D69A8" w:rsidP="000D2CE8">
      <w:pPr>
        <w:jc w:val="center"/>
        <w:rPr>
          <w:rFonts w:ascii="Arial" w:hAnsi="Arial" w:cs="Arial"/>
          <w:b/>
          <w:color w:val="000000" w:themeColor="text1"/>
          <w:sz w:val="28"/>
          <w:szCs w:val="28"/>
        </w:rPr>
      </w:pPr>
      <w:r w:rsidRPr="006D2990">
        <w:rPr>
          <w:rFonts w:ascii="Arial" w:hAnsi="Arial" w:cs="Arial"/>
          <w:b/>
          <w:color w:val="000000" w:themeColor="text1"/>
          <w:sz w:val="28"/>
          <w:szCs w:val="28"/>
        </w:rPr>
        <w:t>V</w:t>
      </w:r>
      <w:r w:rsidR="009E5AF6">
        <w:rPr>
          <w:rFonts w:ascii="Arial" w:hAnsi="Arial" w:cs="Arial"/>
          <w:b/>
          <w:color w:val="000000" w:themeColor="text1"/>
          <w:sz w:val="28"/>
          <w:szCs w:val="28"/>
        </w:rPr>
        <w:t xml:space="preserve">alue For </w:t>
      </w:r>
      <w:r w:rsidRPr="006D2990">
        <w:rPr>
          <w:rFonts w:ascii="Arial" w:hAnsi="Arial" w:cs="Arial"/>
          <w:b/>
          <w:color w:val="000000" w:themeColor="text1"/>
          <w:sz w:val="28"/>
          <w:szCs w:val="28"/>
        </w:rPr>
        <w:t>M</w:t>
      </w:r>
      <w:r w:rsidR="009E5AF6">
        <w:rPr>
          <w:rFonts w:ascii="Arial" w:hAnsi="Arial" w:cs="Arial"/>
          <w:b/>
          <w:color w:val="000000" w:themeColor="text1"/>
          <w:sz w:val="28"/>
          <w:szCs w:val="28"/>
        </w:rPr>
        <w:t>oney</w:t>
      </w:r>
      <w:r w:rsidRPr="006D2990">
        <w:rPr>
          <w:rFonts w:ascii="Arial" w:hAnsi="Arial" w:cs="Arial"/>
          <w:b/>
          <w:color w:val="000000" w:themeColor="text1"/>
          <w:sz w:val="28"/>
          <w:szCs w:val="28"/>
        </w:rPr>
        <w:t xml:space="preserve"> </w:t>
      </w:r>
      <w:r w:rsidR="0005541B">
        <w:rPr>
          <w:rFonts w:ascii="Arial" w:hAnsi="Arial" w:cs="Arial"/>
          <w:b/>
          <w:color w:val="000000" w:themeColor="text1"/>
          <w:sz w:val="28"/>
          <w:szCs w:val="28"/>
        </w:rPr>
        <w:t>S</w:t>
      </w:r>
      <w:r w:rsidRPr="006D2990">
        <w:rPr>
          <w:rFonts w:ascii="Arial" w:hAnsi="Arial" w:cs="Arial"/>
          <w:b/>
          <w:color w:val="000000" w:themeColor="text1"/>
          <w:sz w:val="28"/>
          <w:szCs w:val="28"/>
        </w:rPr>
        <w:t>trategy</w:t>
      </w:r>
      <w:r w:rsidR="009E5AF6">
        <w:rPr>
          <w:rFonts w:ascii="Arial" w:hAnsi="Arial" w:cs="Arial"/>
          <w:b/>
          <w:color w:val="000000" w:themeColor="text1"/>
          <w:sz w:val="28"/>
          <w:szCs w:val="28"/>
        </w:rPr>
        <w:t xml:space="preserve"> </w:t>
      </w:r>
    </w:p>
    <w:p w14:paraId="6AB7C768" w14:textId="1E9C8E5A" w:rsidR="000B198C" w:rsidRPr="006D2990" w:rsidRDefault="000B198C" w:rsidP="000D2CE8">
      <w:pPr>
        <w:jc w:val="center"/>
        <w:rPr>
          <w:rFonts w:ascii="Arial" w:hAnsi="Arial" w:cs="Arial"/>
          <w:b/>
          <w:color w:val="000000" w:themeColor="text1"/>
          <w:sz w:val="28"/>
          <w:szCs w:val="28"/>
        </w:rPr>
      </w:pPr>
      <w:r>
        <w:rPr>
          <w:rFonts w:ascii="Arial" w:hAnsi="Arial" w:cs="Arial"/>
          <w:b/>
          <w:color w:val="000000" w:themeColor="text1"/>
          <w:sz w:val="28"/>
          <w:szCs w:val="28"/>
        </w:rPr>
        <w:t xml:space="preserve">Commercial Head – Social Heart </w:t>
      </w:r>
    </w:p>
    <w:p w14:paraId="142A11BD" w14:textId="7F57104B" w:rsidR="000D2CE8" w:rsidRDefault="00AB1D25" w:rsidP="000D2CE8">
      <w:pPr>
        <w:jc w:val="center"/>
        <w:rPr>
          <w:rFonts w:ascii="Arial" w:hAnsi="Arial" w:cs="Arial"/>
          <w:b/>
          <w:sz w:val="28"/>
          <w:szCs w:val="28"/>
        </w:rPr>
      </w:pPr>
      <w:r>
        <w:rPr>
          <w:rFonts w:ascii="Arial" w:hAnsi="Arial" w:cs="Arial"/>
          <w:b/>
          <w:sz w:val="28"/>
          <w:szCs w:val="28"/>
        </w:rPr>
        <w:t>2026-2029</w:t>
      </w:r>
    </w:p>
    <w:p w14:paraId="3CDAC87C" w14:textId="0DBAD90F" w:rsidR="004212CD" w:rsidRDefault="00804EC6" w:rsidP="000D2CE8">
      <w:pPr>
        <w:jc w:val="center"/>
        <w:rPr>
          <w:rFonts w:ascii="Arial" w:hAnsi="Arial" w:cs="Arial"/>
          <w:b/>
          <w:sz w:val="28"/>
          <w:szCs w:val="28"/>
        </w:rPr>
      </w:pPr>
      <w:r>
        <w:rPr>
          <w:noProof/>
        </w:rPr>
        <w:drawing>
          <wp:inline distT="0" distB="0" distL="0" distR="0" wp14:anchorId="5425DCD4" wp14:editId="7890F417">
            <wp:extent cx="2489200" cy="1382766"/>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99507" cy="1388492"/>
                    </a:xfrm>
                    <a:prstGeom prst="rect">
                      <a:avLst/>
                    </a:prstGeom>
                  </pic:spPr>
                </pic:pic>
              </a:graphicData>
            </a:graphic>
          </wp:inline>
        </w:drawing>
      </w:r>
    </w:p>
    <w:p w14:paraId="74B673B5" w14:textId="77777777" w:rsidR="001B4E5E" w:rsidRDefault="001B4E5E" w:rsidP="00B54D3C">
      <w:pPr>
        <w:rPr>
          <w:rFonts w:ascii="Arial" w:hAnsi="Arial" w:cs="Arial"/>
          <w:b/>
          <w:sz w:val="28"/>
          <w:szCs w:val="28"/>
          <w:highlight w:val="yellow"/>
        </w:rPr>
      </w:pPr>
    </w:p>
    <w:tbl>
      <w:tblPr>
        <w:tblStyle w:val="TableGrid"/>
        <w:tblW w:w="0" w:type="auto"/>
        <w:tblLook w:val="04A0" w:firstRow="1" w:lastRow="0" w:firstColumn="1" w:lastColumn="0" w:noHBand="0" w:noVBand="1"/>
      </w:tblPr>
      <w:tblGrid>
        <w:gridCol w:w="4508"/>
        <w:gridCol w:w="4508"/>
      </w:tblGrid>
      <w:tr w:rsidR="0048036E" w14:paraId="54014B4B" w14:textId="77777777" w:rsidTr="00DB608E">
        <w:tc>
          <w:tcPr>
            <w:tcW w:w="4508" w:type="dxa"/>
          </w:tcPr>
          <w:p w14:paraId="24F1A92C" w14:textId="4697C2CA" w:rsidR="0048036E" w:rsidRDefault="0048036E" w:rsidP="000D2CE8">
            <w:pPr>
              <w:jc w:val="center"/>
              <w:rPr>
                <w:rFonts w:ascii="Arial" w:hAnsi="Arial" w:cs="Arial"/>
                <w:b/>
                <w:sz w:val="28"/>
                <w:szCs w:val="28"/>
              </w:rPr>
            </w:pPr>
            <w:r>
              <w:rPr>
                <w:rFonts w:ascii="Arial" w:hAnsi="Arial" w:cs="Arial"/>
                <w:b/>
                <w:sz w:val="28"/>
                <w:szCs w:val="28"/>
              </w:rPr>
              <w:t>Date of Approval</w:t>
            </w:r>
          </w:p>
        </w:tc>
        <w:tc>
          <w:tcPr>
            <w:tcW w:w="4508" w:type="dxa"/>
          </w:tcPr>
          <w:p w14:paraId="65F3C60A" w14:textId="03F3ADAB" w:rsidR="0048036E" w:rsidRPr="00FA2AF9" w:rsidRDefault="00637CBB" w:rsidP="000D2CE8">
            <w:pPr>
              <w:jc w:val="center"/>
              <w:rPr>
                <w:rFonts w:ascii="Arial" w:hAnsi="Arial" w:cs="Arial"/>
                <w:sz w:val="28"/>
                <w:szCs w:val="28"/>
              </w:rPr>
            </w:pPr>
            <w:r>
              <w:rPr>
                <w:rFonts w:ascii="Arial" w:hAnsi="Arial" w:cs="Arial"/>
                <w:sz w:val="28"/>
                <w:szCs w:val="28"/>
              </w:rPr>
              <w:t>30 March 2026</w:t>
            </w:r>
          </w:p>
        </w:tc>
      </w:tr>
      <w:tr w:rsidR="0048036E" w14:paraId="36F9234E" w14:textId="77777777" w:rsidTr="00DB608E">
        <w:tc>
          <w:tcPr>
            <w:tcW w:w="4508" w:type="dxa"/>
          </w:tcPr>
          <w:p w14:paraId="50B25808" w14:textId="5F2C5D9F" w:rsidR="0048036E" w:rsidRDefault="0048036E" w:rsidP="000D2CE8">
            <w:pPr>
              <w:jc w:val="center"/>
              <w:rPr>
                <w:rFonts w:ascii="Arial" w:hAnsi="Arial" w:cs="Arial"/>
                <w:b/>
                <w:sz w:val="28"/>
                <w:szCs w:val="28"/>
              </w:rPr>
            </w:pPr>
            <w:r>
              <w:rPr>
                <w:rFonts w:ascii="Arial" w:hAnsi="Arial" w:cs="Arial"/>
                <w:b/>
                <w:sz w:val="28"/>
                <w:szCs w:val="28"/>
              </w:rPr>
              <w:t>Responsible Director</w:t>
            </w:r>
          </w:p>
        </w:tc>
        <w:tc>
          <w:tcPr>
            <w:tcW w:w="4508" w:type="dxa"/>
          </w:tcPr>
          <w:p w14:paraId="64E8184D" w14:textId="32D6DD4A" w:rsidR="0048036E" w:rsidRPr="00FA2AF9" w:rsidRDefault="0048036E" w:rsidP="000D2CE8">
            <w:pPr>
              <w:jc w:val="center"/>
              <w:rPr>
                <w:rFonts w:ascii="Arial" w:hAnsi="Arial" w:cs="Arial"/>
                <w:sz w:val="28"/>
                <w:szCs w:val="28"/>
              </w:rPr>
            </w:pPr>
            <w:r w:rsidRPr="00FA2AF9">
              <w:rPr>
                <w:rFonts w:ascii="Arial" w:hAnsi="Arial" w:cs="Arial"/>
                <w:sz w:val="28"/>
                <w:szCs w:val="28"/>
              </w:rPr>
              <w:t>Executive Director of Finance</w:t>
            </w:r>
          </w:p>
        </w:tc>
      </w:tr>
      <w:tr w:rsidR="0048036E" w14:paraId="616A99DB" w14:textId="77777777" w:rsidTr="00DB608E">
        <w:tc>
          <w:tcPr>
            <w:tcW w:w="4508" w:type="dxa"/>
          </w:tcPr>
          <w:p w14:paraId="696EDAA7" w14:textId="66CF1517" w:rsidR="0048036E" w:rsidRPr="00FA2AF9" w:rsidRDefault="0048036E" w:rsidP="000D2CE8">
            <w:pPr>
              <w:jc w:val="center"/>
              <w:rPr>
                <w:rFonts w:ascii="Arial" w:hAnsi="Arial" w:cs="Arial"/>
                <w:b/>
                <w:sz w:val="28"/>
                <w:szCs w:val="28"/>
              </w:rPr>
            </w:pPr>
            <w:r w:rsidRPr="00FA2AF9">
              <w:rPr>
                <w:rFonts w:ascii="Arial" w:hAnsi="Arial" w:cs="Arial"/>
                <w:b/>
                <w:sz w:val="28"/>
                <w:szCs w:val="28"/>
              </w:rPr>
              <w:t>Strategy Monitoring Body</w:t>
            </w:r>
          </w:p>
        </w:tc>
        <w:tc>
          <w:tcPr>
            <w:tcW w:w="4508" w:type="dxa"/>
          </w:tcPr>
          <w:p w14:paraId="5CC735DF" w14:textId="0D17A686" w:rsidR="0048036E" w:rsidRPr="00FA2AF9" w:rsidRDefault="0048036E" w:rsidP="000D2CE8">
            <w:pPr>
              <w:jc w:val="center"/>
              <w:rPr>
                <w:rFonts w:ascii="Arial" w:hAnsi="Arial" w:cs="Arial"/>
                <w:sz w:val="28"/>
                <w:szCs w:val="28"/>
              </w:rPr>
            </w:pPr>
            <w:r w:rsidRPr="00FA2AF9">
              <w:rPr>
                <w:rFonts w:ascii="Arial" w:hAnsi="Arial" w:cs="Arial"/>
                <w:sz w:val="28"/>
                <w:szCs w:val="28"/>
              </w:rPr>
              <w:t>Group Board</w:t>
            </w:r>
          </w:p>
        </w:tc>
      </w:tr>
      <w:tr w:rsidR="009C62D5" w14:paraId="70F83525" w14:textId="77777777" w:rsidTr="00DB608E">
        <w:tc>
          <w:tcPr>
            <w:tcW w:w="4508" w:type="dxa"/>
          </w:tcPr>
          <w:p w14:paraId="22EBFB36" w14:textId="35AFA9E1" w:rsidR="009C62D5" w:rsidRPr="00FA2AF9" w:rsidRDefault="008A0891" w:rsidP="000D2CE8">
            <w:pPr>
              <w:jc w:val="center"/>
              <w:rPr>
                <w:rFonts w:ascii="Arial" w:hAnsi="Arial" w:cs="Arial"/>
                <w:b/>
                <w:sz w:val="28"/>
                <w:szCs w:val="28"/>
              </w:rPr>
            </w:pPr>
            <w:r w:rsidRPr="00FA2AF9">
              <w:rPr>
                <w:rFonts w:ascii="Arial" w:hAnsi="Arial" w:cs="Arial"/>
                <w:b/>
                <w:sz w:val="28"/>
                <w:szCs w:val="28"/>
              </w:rPr>
              <w:t>Resident Input into Strategy</w:t>
            </w:r>
          </w:p>
        </w:tc>
        <w:tc>
          <w:tcPr>
            <w:tcW w:w="4508" w:type="dxa"/>
          </w:tcPr>
          <w:p w14:paraId="5210FE4A" w14:textId="73DA1102" w:rsidR="009C62D5" w:rsidRPr="00FA2AF9" w:rsidRDefault="009543FC" w:rsidP="000D2CE8">
            <w:pPr>
              <w:jc w:val="center"/>
              <w:rPr>
                <w:rFonts w:ascii="Arial" w:hAnsi="Arial" w:cs="Arial"/>
                <w:sz w:val="28"/>
                <w:szCs w:val="28"/>
              </w:rPr>
            </w:pPr>
            <w:r>
              <w:rPr>
                <w:rFonts w:ascii="Arial" w:hAnsi="Arial" w:cs="Arial"/>
                <w:sz w:val="28"/>
                <w:szCs w:val="28"/>
              </w:rPr>
              <w:t>Tenant</w:t>
            </w:r>
            <w:r w:rsidR="00F645FC">
              <w:rPr>
                <w:rFonts w:ascii="Arial" w:hAnsi="Arial" w:cs="Arial"/>
                <w:sz w:val="28"/>
                <w:szCs w:val="28"/>
              </w:rPr>
              <w:t xml:space="preserve"> Scrutiny Group </w:t>
            </w:r>
          </w:p>
        </w:tc>
      </w:tr>
      <w:tr w:rsidR="009C62D5" w14:paraId="6743B755" w14:textId="77777777" w:rsidTr="00DB608E">
        <w:tc>
          <w:tcPr>
            <w:tcW w:w="4508" w:type="dxa"/>
          </w:tcPr>
          <w:p w14:paraId="770220E6" w14:textId="70DFB445" w:rsidR="009C62D5" w:rsidRPr="00FA2AF9" w:rsidRDefault="008A0891" w:rsidP="000D2CE8">
            <w:pPr>
              <w:jc w:val="center"/>
              <w:rPr>
                <w:rFonts w:ascii="Arial" w:hAnsi="Arial" w:cs="Arial"/>
                <w:b/>
                <w:sz w:val="28"/>
                <w:szCs w:val="28"/>
              </w:rPr>
            </w:pPr>
            <w:r w:rsidRPr="00FA2AF9">
              <w:rPr>
                <w:rFonts w:ascii="Arial" w:hAnsi="Arial" w:cs="Arial"/>
                <w:b/>
                <w:sz w:val="28"/>
                <w:szCs w:val="28"/>
              </w:rPr>
              <w:t>Dates for Strategy Review</w:t>
            </w:r>
          </w:p>
        </w:tc>
        <w:tc>
          <w:tcPr>
            <w:tcW w:w="4508" w:type="dxa"/>
          </w:tcPr>
          <w:p w14:paraId="27B509BF" w14:textId="6138D109" w:rsidR="009C62D5" w:rsidRPr="00FA2AF9" w:rsidRDefault="00D04331" w:rsidP="000D2CE8">
            <w:pPr>
              <w:jc w:val="center"/>
              <w:rPr>
                <w:rFonts w:ascii="Arial" w:hAnsi="Arial" w:cs="Arial"/>
                <w:sz w:val="28"/>
                <w:szCs w:val="28"/>
              </w:rPr>
            </w:pPr>
            <w:r>
              <w:rPr>
                <w:rFonts w:ascii="Arial" w:hAnsi="Arial" w:cs="Arial"/>
                <w:sz w:val="28"/>
                <w:szCs w:val="28"/>
              </w:rPr>
              <w:t>March 2029</w:t>
            </w:r>
            <w:r w:rsidR="00A50723">
              <w:rPr>
                <w:rFonts w:ascii="Arial" w:hAnsi="Arial" w:cs="Arial"/>
                <w:sz w:val="28"/>
                <w:szCs w:val="28"/>
              </w:rPr>
              <w:t xml:space="preserve"> </w:t>
            </w:r>
          </w:p>
        </w:tc>
      </w:tr>
      <w:tr w:rsidR="009C62D5" w14:paraId="37719D4F" w14:textId="77777777" w:rsidTr="00DB608E">
        <w:tc>
          <w:tcPr>
            <w:tcW w:w="4508" w:type="dxa"/>
          </w:tcPr>
          <w:p w14:paraId="197E7015" w14:textId="74BC4C76" w:rsidR="009C62D5" w:rsidRPr="00FA2AF9" w:rsidRDefault="00FA2AF9" w:rsidP="000D2CE8">
            <w:pPr>
              <w:jc w:val="center"/>
              <w:rPr>
                <w:rFonts w:ascii="Arial" w:hAnsi="Arial" w:cs="Arial"/>
                <w:b/>
                <w:sz w:val="28"/>
                <w:szCs w:val="28"/>
              </w:rPr>
            </w:pPr>
            <w:r w:rsidRPr="00FA2AF9">
              <w:rPr>
                <w:rFonts w:ascii="Arial" w:hAnsi="Arial" w:cs="Arial"/>
                <w:b/>
                <w:sz w:val="28"/>
                <w:szCs w:val="28"/>
              </w:rPr>
              <w:t>Linked strategies</w:t>
            </w:r>
          </w:p>
        </w:tc>
        <w:tc>
          <w:tcPr>
            <w:tcW w:w="4508" w:type="dxa"/>
          </w:tcPr>
          <w:p w14:paraId="229E8C1B" w14:textId="048D2606" w:rsidR="009C62D5" w:rsidRPr="00FA2AF9" w:rsidRDefault="00FA2AF9" w:rsidP="000D2CE8">
            <w:pPr>
              <w:jc w:val="center"/>
              <w:rPr>
                <w:rFonts w:ascii="Arial" w:hAnsi="Arial" w:cs="Arial"/>
                <w:sz w:val="28"/>
                <w:szCs w:val="28"/>
              </w:rPr>
            </w:pPr>
            <w:r w:rsidRPr="00FA2AF9">
              <w:rPr>
                <w:rFonts w:ascii="Arial" w:hAnsi="Arial" w:cs="Arial"/>
                <w:sz w:val="28"/>
                <w:szCs w:val="28"/>
              </w:rPr>
              <w:t>Cross</w:t>
            </w:r>
            <w:r w:rsidR="00FF7CC5">
              <w:rPr>
                <w:rFonts w:ascii="Arial" w:hAnsi="Arial" w:cs="Arial"/>
                <w:sz w:val="28"/>
                <w:szCs w:val="28"/>
              </w:rPr>
              <w:t>-</w:t>
            </w:r>
            <w:r w:rsidRPr="00FA2AF9">
              <w:rPr>
                <w:rFonts w:ascii="Arial" w:hAnsi="Arial" w:cs="Arial"/>
                <w:sz w:val="28"/>
                <w:szCs w:val="28"/>
              </w:rPr>
              <w:t xml:space="preserve">cutting strategy hence </w:t>
            </w:r>
            <w:r w:rsidR="00E44D2D">
              <w:rPr>
                <w:rFonts w:ascii="Arial" w:hAnsi="Arial" w:cs="Arial"/>
                <w:sz w:val="28"/>
                <w:szCs w:val="28"/>
              </w:rPr>
              <w:t>most</w:t>
            </w:r>
            <w:r w:rsidRPr="00FA2AF9">
              <w:rPr>
                <w:rFonts w:ascii="Arial" w:hAnsi="Arial" w:cs="Arial"/>
                <w:sz w:val="28"/>
                <w:szCs w:val="28"/>
              </w:rPr>
              <w:t xml:space="preserve"> other Strategies </w:t>
            </w:r>
            <w:r w:rsidR="001B3FB9">
              <w:rPr>
                <w:rFonts w:ascii="Arial" w:hAnsi="Arial" w:cs="Arial"/>
                <w:sz w:val="28"/>
                <w:szCs w:val="28"/>
              </w:rPr>
              <w:t>are linked</w:t>
            </w:r>
          </w:p>
        </w:tc>
      </w:tr>
      <w:tr w:rsidR="00FA2AF9" w14:paraId="0D059A3E" w14:textId="77777777" w:rsidTr="00DB608E">
        <w:tc>
          <w:tcPr>
            <w:tcW w:w="4508" w:type="dxa"/>
          </w:tcPr>
          <w:p w14:paraId="3356118E" w14:textId="26D1089E" w:rsidR="00FA2AF9" w:rsidRPr="00FA2AF9" w:rsidRDefault="00FA2AF9" w:rsidP="000D2CE8">
            <w:pPr>
              <w:jc w:val="center"/>
              <w:rPr>
                <w:rFonts w:ascii="Arial" w:hAnsi="Arial" w:cs="Arial"/>
                <w:b/>
                <w:sz w:val="28"/>
                <w:szCs w:val="28"/>
              </w:rPr>
            </w:pPr>
            <w:r w:rsidRPr="00FA2AF9">
              <w:rPr>
                <w:rFonts w:ascii="Arial" w:hAnsi="Arial" w:cs="Arial"/>
                <w:b/>
                <w:sz w:val="28"/>
                <w:szCs w:val="28"/>
              </w:rPr>
              <w:t>Statutory and Legal Framework</w:t>
            </w:r>
          </w:p>
        </w:tc>
        <w:tc>
          <w:tcPr>
            <w:tcW w:w="4508" w:type="dxa"/>
          </w:tcPr>
          <w:p w14:paraId="07EC3DA5" w14:textId="58DF1C4E" w:rsidR="00FA2AF9" w:rsidRPr="00FA2AF9" w:rsidRDefault="00FA2AF9" w:rsidP="000D2CE8">
            <w:pPr>
              <w:jc w:val="center"/>
              <w:rPr>
                <w:rFonts w:ascii="Arial" w:hAnsi="Arial" w:cs="Arial"/>
                <w:sz w:val="28"/>
                <w:szCs w:val="28"/>
              </w:rPr>
            </w:pPr>
            <w:r w:rsidRPr="00FA2AF9">
              <w:rPr>
                <w:rFonts w:ascii="Arial" w:hAnsi="Arial" w:cs="Arial"/>
                <w:sz w:val="28"/>
                <w:szCs w:val="28"/>
              </w:rPr>
              <w:t xml:space="preserve">RSH </w:t>
            </w:r>
            <w:r w:rsidR="00495B65">
              <w:rPr>
                <w:rFonts w:ascii="Arial" w:hAnsi="Arial" w:cs="Arial"/>
                <w:sz w:val="28"/>
                <w:szCs w:val="28"/>
              </w:rPr>
              <w:t>VFM</w:t>
            </w:r>
            <w:r w:rsidRPr="00FA2AF9">
              <w:rPr>
                <w:rFonts w:ascii="Arial" w:hAnsi="Arial" w:cs="Arial"/>
                <w:sz w:val="28"/>
                <w:szCs w:val="28"/>
              </w:rPr>
              <w:t xml:space="preserve"> Standard</w:t>
            </w:r>
          </w:p>
        </w:tc>
      </w:tr>
      <w:tr w:rsidR="00FA2AF9" w14:paraId="014EEED0" w14:textId="77777777" w:rsidTr="00DB608E">
        <w:tc>
          <w:tcPr>
            <w:tcW w:w="4508" w:type="dxa"/>
          </w:tcPr>
          <w:p w14:paraId="01037050" w14:textId="333219E9" w:rsidR="00FA2AF9" w:rsidRPr="00FA2AF9" w:rsidRDefault="00FA2AF9" w:rsidP="000D2CE8">
            <w:pPr>
              <w:jc w:val="center"/>
              <w:rPr>
                <w:rFonts w:ascii="Arial" w:hAnsi="Arial" w:cs="Arial"/>
                <w:b/>
                <w:sz w:val="28"/>
                <w:szCs w:val="28"/>
              </w:rPr>
            </w:pPr>
            <w:r>
              <w:rPr>
                <w:rFonts w:ascii="Arial" w:hAnsi="Arial" w:cs="Arial"/>
                <w:b/>
                <w:sz w:val="28"/>
                <w:szCs w:val="28"/>
              </w:rPr>
              <w:t>Version</w:t>
            </w:r>
          </w:p>
        </w:tc>
        <w:tc>
          <w:tcPr>
            <w:tcW w:w="4508" w:type="dxa"/>
          </w:tcPr>
          <w:p w14:paraId="7BF857D8" w14:textId="432D0643" w:rsidR="00FA2AF9" w:rsidRPr="00FA2AF9" w:rsidRDefault="001B3FB9" w:rsidP="000D2CE8">
            <w:pPr>
              <w:jc w:val="center"/>
              <w:rPr>
                <w:rFonts w:ascii="Arial" w:hAnsi="Arial" w:cs="Arial"/>
                <w:sz w:val="28"/>
                <w:szCs w:val="28"/>
              </w:rPr>
            </w:pPr>
            <w:r>
              <w:rPr>
                <w:rFonts w:ascii="Arial" w:hAnsi="Arial" w:cs="Arial"/>
                <w:sz w:val="28"/>
                <w:szCs w:val="28"/>
              </w:rPr>
              <w:t>Final</w:t>
            </w:r>
          </w:p>
        </w:tc>
      </w:tr>
    </w:tbl>
    <w:p w14:paraId="1AE0D5F7" w14:textId="77777777" w:rsidR="0050622E" w:rsidRDefault="0050622E" w:rsidP="00007CBE">
      <w:pPr>
        <w:rPr>
          <w:rFonts w:ascii="Arial" w:hAnsi="Arial" w:cs="Arial"/>
          <w:b/>
          <w:sz w:val="28"/>
          <w:szCs w:val="28"/>
        </w:rPr>
      </w:pPr>
    </w:p>
    <w:p w14:paraId="3EBD3FEC" w14:textId="77777777" w:rsidR="00B54D3C" w:rsidRDefault="00B54D3C" w:rsidP="00007CBE">
      <w:pPr>
        <w:rPr>
          <w:rFonts w:ascii="Arial" w:hAnsi="Arial" w:cs="Arial"/>
          <w:b/>
          <w:sz w:val="28"/>
          <w:szCs w:val="28"/>
        </w:rPr>
      </w:pPr>
    </w:p>
    <w:p w14:paraId="003CCB14" w14:textId="77777777" w:rsidR="00A50723" w:rsidRDefault="00A50723" w:rsidP="00007CBE">
      <w:pPr>
        <w:rPr>
          <w:rFonts w:ascii="Arial" w:hAnsi="Arial" w:cs="Arial"/>
          <w:b/>
          <w:sz w:val="28"/>
          <w:szCs w:val="28"/>
        </w:rPr>
      </w:pPr>
    </w:p>
    <w:p w14:paraId="2CBA2B74" w14:textId="77777777" w:rsidR="00AB1D25" w:rsidRDefault="00AB1D25" w:rsidP="00007CBE">
      <w:pPr>
        <w:rPr>
          <w:rFonts w:ascii="Arial" w:hAnsi="Arial" w:cs="Arial"/>
          <w:b/>
          <w:sz w:val="28"/>
          <w:szCs w:val="28"/>
        </w:rPr>
      </w:pPr>
    </w:p>
    <w:p w14:paraId="17AFF28E" w14:textId="77777777" w:rsidR="001B3FB9" w:rsidRDefault="001B3FB9" w:rsidP="00007CBE">
      <w:pPr>
        <w:rPr>
          <w:rFonts w:ascii="Arial" w:hAnsi="Arial" w:cs="Arial"/>
          <w:b/>
          <w:sz w:val="28"/>
          <w:szCs w:val="28"/>
        </w:rPr>
      </w:pPr>
    </w:p>
    <w:p w14:paraId="260A0CC6" w14:textId="51A7494E" w:rsidR="00BD3E3B" w:rsidRPr="00007CBE" w:rsidRDefault="005F7E87" w:rsidP="00007CBE">
      <w:pPr>
        <w:rPr>
          <w:rFonts w:ascii="Arial" w:hAnsi="Arial" w:cs="Arial"/>
          <w:b/>
          <w:sz w:val="28"/>
          <w:szCs w:val="28"/>
        </w:rPr>
      </w:pPr>
      <w:r w:rsidRPr="00007CBE">
        <w:rPr>
          <w:rFonts w:ascii="Arial" w:hAnsi="Arial" w:cs="Arial"/>
          <w:b/>
          <w:sz w:val="28"/>
          <w:szCs w:val="28"/>
        </w:rPr>
        <w:lastRenderedPageBreak/>
        <w:t>Contents</w:t>
      </w:r>
    </w:p>
    <w:tbl>
      <w:tblPr>
        <w:tblStyle w:val="TableGrid"/>
        <w:tblpPr w:leftFromText="180" w:rightFromText="180" w:vertAnchor="text" w:horzAnchor="margin" w:tblpY="374"/>
        <w:tblW w:w="9209" w:type="dxa"/>
        <w:tblLook w:val="04A0" w:firstRow="1" w:lastRow="0" w:firstColumn="1" w:lastColumn="0" w:noHBand="0" w:noVBand="1"/>
      </w:tblPr>
      <w:tblGrid>
        <w:gridCol w:w="825"/>
        <w:gridCol w:w="6825"/>
        <w:gridCol w:w="1559"/>
      </w:tblGrid>
      <w:tr w:rsidR="00E44F98" w:rsidRPr="00E74A43" w14:paraId="6B0B6F92" w14:textId="061A36AF" w:rsidTr="00A41356">
        <w:tc>
          <w:tcPr>
            <w:tcW w:w="825" w:type="dxa"/>
          </w:tcPr>
          <w:p w14:paraId="642A22DC" w14:textId="5F6D2A07" w:rsidR="00E44F98" w:rsidRPr="00E74A43" w:rsidRDefault="00E44F98" w:rsidP="00E44F98">
            <w:pPr>
              <w:jc w:val="both"/>
              <w:rPr>
                <w:rFonts w:ascii="Arial" w:hAnsi="Arial" w:cs="Arial"/>
                <w:b/>
                <w:sz w:val="32"/>
                <w:szCs w:val="32"/>
              </w:rPr>
            </w:pPr>
            <w:r w:rsidRPr="00E74A43">
              <w:rPr>
                <w:rFonts w:ascii="Arial" w:hAnsi="Arial" w:cs="Arial"/>
                <w:b/>
                <w:sz w:val="32"/>
                <w:szCs w:val="32"/>
              </w:rPr>
              <w:t>Ref</w:t>
            </w:r>
          </w:p>
        </w:tc>
        <w:tc>
          <w:tcPr>
            <w:tcW w:w="6825" w:type="dxa"/>
          </w:tcPr>
          <w:p w14:paraId="3F884D54" w14:textId="65C85CB9" w:rsidR="00E44F98" w:rsidRPr="00E74A43" w:rsidRDefault="00E44F98" w:rsidP="00E44F98">
            <w:pPr>
              <w:jc w:val="both"/>
              <w:rPr>
                <w:rFonts w:ascii="Arial" w:hAnsi="Arial" w:cs="Arial"/>
                <w:b/>
                <w:sz w:val="32"/>
                <w:szCs w:val="32"/>
              </w:rPr>
            </w:pPr>
            <w:r w:rsidRPr="00E74A43">
              <w:rPr>
                <w:rFonts w:ascii="Arial" w:hAnsi="Arial" w:cs="Arial"/>
                <w:b/>
                <w:sz w:val="32"/>
                <w:szCs w:val="32"/>
              </w:rPr>
              <w:t>Section</w:t>
            </w:r>
          </w:p>
        </w:tc>
        <w:tc>
          <w:tcPr>
            <w:tcW w:w="1559" w:type="dxa"/>
          </w:tcPr>
          <w:p w14:paraId="36B0935F" w14:textId="04006A00" w:rsidR="00E44F98" w:rsidRPr="00223AC7" w:rsidRDefault="00E44F98" w:rsidP="007635C3">
            <w:pPr>
              <w:rPr>
                <w:rFonts w:ascii="Arial" w:hAnsi="Arial" w:cs="Arial"/>
                <w:b/>
                <w:sz w:val="32"/>
                <w:szCs w:val="32"/>
              </w:rPr>
            </w:pPr>
            <w:r w:rsidRPr="004457A6">
              <w:rPr>
                <w:rFonts w:ascii="Arial" w:hAnsi="Arial" w:cs="Arial"/>
                <w:b/>
                <w:sz w:val="32"/>
                <w:szCs w:val="32"/>
              </w:rPr>
              <w:t xml:space="preserve">Page </w:t>
            </w:r>
            <w:r w:rsidR="00A41356">
              <w:rPr>
                <w:rFonts w:ascii="Arial" w:hAnsi="Arial" w:cs="Arial"/>
                <w:b/>
                <w:sz w:val="32"/>
                <w:szCs w:val="32"/>
              </w:rPr>
              <w:t xml:space="preserve">  </w:t>
            </w:r>
            <w:r w:rsidRPr="004457A6">
              <w:rPr>
                <w:rFonts w:ascii="Arial" w:hAnsi="Arial" w:cs="Arial"/>
                <w:b/>
                <w:sz w:val="32"/>
                <w:szCs w:val="32"/>
              </w:rPr>
              <w:t>No</w:t>
            </w:r>
          </w:p>
        </w:tc>
      </w:tr>
      <w:tr w:rsidR="00E44F98" w:rsidRPr="00E74A43" w14:paraId="3E7A77BB" w14:textId="2AB6FC9C" w:rsidTr="00A41356">
        <w:tc>
          <w:tcPr>
            <w:tcW w:w="825" w:type="dxa"/>
          </w:tcPr>
          <w:p w14:paraId="070FE750" w14:textId="77777777" w:rsidR="00E44F98" w:rsidRPr="00E74A43" w:rsidRDefault="00E44F98" w:rsidP="00E44F98">
            <w:pPr>
              <w:pStyle w:val="ListParagraph"/>
              <w:numPr>
                <w:ilvl w:val="0"/>
                <w:numId w:val="1"/>
              </w:numPr>
              <w:rPr>
                <w:rFonts w:ascii="Arial" w:hAnsi="Arial" w:cs="Arial"/>
                <w:sz w:val="32"/>
                <w:szCs w:val="32"/>
              </w:rPr>
            </w:pPr>
          </w:p>
        </w:tc>
        <w:tc>
          <w:tcPr>
            <w:tcW w:w="6825" w:type="dxa"/>
          </w:tcPr>
          <w:p w14:paraId="0829965F" w14:textId="77777777" w:rsidR="00E44F98" w:rsidRPr="00E74A43" w:rsidRDefault="00E44F98" w:rsidP="005C652B">
            <w:pPr>
              <w:rPr>
                <w:rFonts w:ascii="Arial" w:hAnsi="Arial" w:cs="Arial"/>
                <w:sz w:val="32"/>
                <w:szCs w:val="32"/>
              </w:rPr>
            </w:pPr>
            <w:r w:rsidRPr="00E74A43">
              <w:rPr>
                <w:rFonts w:ascii="Arial" w:hAnsi="Arial" w:cs="Arial"/>
                <w:sz w:val="32"/>
                <w:szCs w:val="32"/>
              </w:rPr>
              <w:t>Introduction</w:t>
            </w:r>
          </w:p>
        </w:tc>
        <w:tc>
          <w:tcPr>
            <w:tcW w:w="1559" w:type="dxa"/>
          </w:tcPr>
          <w:p w14:paraId="4905ADEF" w14:textId="629A281B" w:rsidR="00E44F98" w:rsidRPr="004457A6" w:rsidRDefault="006A5283" w:rsidP="00A41356">
            <w:pPr>
              <w:pStyle w:val="ListParagraph"/>
              <w:ind w:left="0"/>
              <w:rPr>
                <w:rFonts w:ascii="Arial" w:hAnsi="Arial" w:cs="Arial"/>
                <w:sz w:val="32"/>
                <w:szCs w:val="32"/>
              </w:rPr>
            </w:pPr>
            <w:r w:rsidRPr="004457A6">
              <w:rPr>
                <w:rFonts w:ascii="Arial" w:hAnsi="Arial" w:cs="Arial"/>
                <w:sz w:val="32"/>
                <w:szCs w:val="32"/>
              </w:rPr>
              <w:t>3</w:t>
            </w:r>
          </w:p>
        </w:tc>
      </w:tr>
      <w:tr w:rsidR="00B74DA3" w:rsidRPr="00E74A43" w14:paraId="67A94C07" w14:textId="77777777" w:rsidTr="00A41356">
        <w:tc>
          <w:tcPr>
            <w:tcW w:w="825" w:type="dxa"/>
          </w:tcPr>
          <w:p w14:paraId="5DA2D230" w14:textId="77777777" w:rsidR="00B74DA3" w:rsidRPr="00E74A43" w:rsidRDefault="00B74DA3" w:rsidP="00E44F98">
            <w:pPr>
              <w:pStyle w:val="ListParagraph"/>
              <w:numPr>
                <w:ilvl w:val="0"/>
                <w:numId w:val="1"/>
              </w:numPr>
              <w:jc w:val="both"/>
              <w:rPr>
                <w:rFonts w:ascii="Arial" w:hAnsi="Arial" w:cs="Arial"/>
                <w:sz w:val="32"/>
                <w:szCs w:val="32"/>
              </w:rPr>
            </w:pPr>
          </w:p>
        </w:tc>
        <w:tc>
          <w:tcPr>
            <w:tcW w:w="6825" w:type="dxa"/>
          </w:tcPr>
          <w:p w14:paraId="4A66586C" w14:textId="32351CAD" w:rsidR="00B74DA3" w:rsidRPr="00E74A43" w:rsidRDefault="00B74DA3" w:rsidP="005C652B">
            <w:pPr>
              <w:rPr>
                <w:rFonts w:ascii="Arial" w:hAnsi="Arial" w:cs="Arial"/>
                <w:sz w:val="32"/>
                <w:szCs w:val="32"/>
              </w:rPr>
            </w:pPr>
            <w:r w:rsidRPr="00E74A43">
              <w:rPr>
                <w:rFonts w:ascii="Arial" w:hAnsi="Arial" w:cs="Arial"/>
                <w:sz w:val="32"/>
                <w:szCs w:val="32"/>
              </w:rPr>
              <w:t>Regulation</w:t>
            </w:r>
          </w:p>
        </w:tc>
        <w:tc>
          <w:tcPr>
            <w:tcW w:w="1559" w:type="dxa"/>
          </w:tcPr>
          <w:p w14:paraId="535B1108" w14:textId="4F01785D" w:rsidR="00B74DA3" w:rsidRPr="004457A6" w:rsidRDefault="006A5283" w:rsidP="00A41356">
            <w:pPr>
              <w:pStyle w:val="ListParagraph"/>
              <w:ind w:left="0"/>
              <w:rPr>
                <w:rFonts w:ascii="Arial" w:hAnsi="Arial" w:cs="Arial"/>
                <w:sz w:val="32"/>
                <w:szCs w:val="32"/>
              </w:rPr>
            </w:pPr>
            <w:r w:rsidRPr="004457A6">
              <w:rPr>
                <w:rFonts w:ascii="Arial" w:hAnsi="Arial" w:cs="Arial"/>
                <w:sz w:val="32"/>
                <w:szCs w:val="32"/>
              </w:rPr>
              <w:t>3</w:t>
            </w:r>
            <w:r w:rsidR="006255E3">
              <w:rPr>
                <w:rFonts w:ascii="Arial" w:hAnsi="Arial" w:cs="Arial"/>
                <w:sz w:val="32"/>
                <w:szCs w:val="32"/>
              </w:rPr>
              <w:t>-4</w:t>
            </w:r>
          </w:p>
        </w:tc>
      </w:tr>
      <w:tr w:rsidR="00E44F98" w:rsidRPr="00E74A43" w14:paraId="036C3A3D" w14:textId="36BA0B9D" w:rsidTr="00A41356">
        <w:tc>
          <w:tcPr>
            <w:tcW w:w="825" w:type="dxa"/>
          </w:tcPr>
          <w:p w14:paraId="38592317" w14:textId="77777777" w:rsidR="00E44F98" w:rsidRPr="00E74A43" w:rsidRDefault="00E44F98" w:rsidP="00E44F98">
            <w:pPr>
              <w:pStyle w:val="ListParagraph"/>
              <w:numPr>
                <w:ilvl w:val="0"/>
                <w:numId w:val="1"/>
              </w:numPr>
              <w:jc w:val="both"/>
              <w:rPr>
                <w:rFonts w:ascii="Arial" w:hAnsi="Arial" w:cs="Arial"/>
                <w:sz w:val="32"/>
                <w:szCs w:val="32"/>
              </w:rPr>
            </w:pPr>
          </w:p>
        </w:tc>
        <w:tc>
          <w:tcPr>
            <w:tcW w:w="6825" w:type="dxa"/>
          </w:tcPr>
          <w:p w14:paraId="4EA3F7F4" w14:textId="7DC24671" w:rsidR="00E44F98" w:rsidRPr="00E74A43" w:rsidRDefault="00E44F98" w:rsidP="005C652B">
            <w:pPr>
              <w:rPr>
                <w:rFonts w:ascii="Arial" w:hAnsi="Arial" w:cs="Arial"/>
                <w:sz w:val="32"/>
                <w:szCs w:val="32"/>
              </w:rPr>
            </w:pPr>
            <w:r w:rsidRPr="00E74A43">
              <w:rPr>
                <w:rFonts w:ascii="Arial" w:hAnsi="Arial" w:cs="Arial"/>
                <w:sz w:val="32"/>
                <w:szCs w:val="32"/>
              </w:rPr>
              <w:t>Objective</w:t>
            </w:r>
            <w:r w:rsidR="00B74DA3" w:rsidRPr="00E74A43">
              <w:rPr>
                <w:rFonts w:ascii="Arial" w:hAnsi="Arial" w:cs="Arial"/>
                <w:sz w:val="32"/>
                <w:szCs w:val="32"/>
              </w:rPr>
              <w:t>s</w:t>
            </w:r>
            <w:r w:rsidR="00D056CE" w:rsidRPr="00E74A43">
              <w:rPr>
                <w:rFonts w:ascii="Arial" w:hAnsi="Arial" w:cs="Arial"/>
                <w:sz w:val="32"/>
                <w:szCs w:val="32"/>
              </w:rPr>
              <w:t xml:space="preserve"> </w:t>
            </w:r>
            <w:r w:rsidR="00D83BCF">
              <w:rPr>
                <w:rFonts w:ascii="Arial" w:hAnsi="Arial" w:cs="Arial"/>
                <w:sz w:val="32"/>
                <w:szCs w:val="32"/>
              </w:rPr>
              <w:t xml:space="preserve">of the </w:t>
            </w:r>
            <w:r w:rsidR="00495B65">
              <w:rPr>
                <w:rFonts w:ascii="Arial" w:hAnsi="Arial" w:cs="Arial"/>
                <w:color w:val="000000" w:themeColor="text1"/>
                <w:sz w:val="32"/>
                <w:szCs w:val="32"/>
              </w:rPr>
              <w:t>VFM</w:t>
            </w:r>
            <w:r w:rsidR="00D056CE" w:rsidRPr="00E74A43">
              <w:rPr>
                <w:rFonts w:ascii="Arial" w:hAnsi="Arial" w:cs="Arial"/>
                <w:color w:val="000000" w:themeColor="text1"/>
                <w:sz w:val="32"/>
                <w:szCs w:val="32"/>
              </w:rPr>
              <w:t xml:space="preserve"> strategy</w:t>
            </w:r>
          </w:p>
        </w:tc>
        <w:tc>
          <w:tcPr>
            <w:tcW w:w="1559" w:type="dxa"/>
          </w:tcPr>
          <w:p w14:paraId="1A5C63EC" w14:textId="5FB693CC" w:rsidR="00E44F98" w:rsidRPr="004457A6" w:rsidRDefault="00AB4F39" w:rsidP="00A41356">
            <w:pPr>
              <w:pStyle w:val="ListParagraph"/>
              <w:ind w:left="0"/>
              <w:rPr>
                <w:rFonts w:ascii="Arial" w:hAnsi="Arial" w:cs="Arial"/>
                <w:sz w:val="32"/>
                <w:szCs w:val="32"/>
              </w:rPr>
            </w:pPr>
            <w:r>
              <w:rPr>
                <w:rFonts w:ascii="Arial" w:hAnsi="Arial" w:cs="Arial"/>
                <w:sz w:val="32"/>
                <w:szCs w:val="32"/>
              </w:rPr>
              <w:t>4</w:t>
            </w:r>
          </w:p>
        </w:tc>
      </w:tr>
      <w:tr w:rsidR="00C57AF9" w:rsidRPr="00E74A43" w14:paraId="3E33086D" w14:textId="77777777" w:rsidTr="00A41356">
        <w:tc>
          <w:tcPr>
            <w:tcW w:w="825" w:type="dxa"/>
          </w:tcPr>
          <w:p w14:paraId="5C42031B" w14:textId="77777777" w:rsidR="00C57AF9" w:rsidRPr="00E74A43" w:rsidRDefault="00C57AF9" w:rsidP="00C57AF9">
            <w:pPr>
              <w:pStyle w:val="ListParagraph"/>
              <w:numPr>
                <w:ilvl w:val="0"/>
                <w:numId w:val="1"/>
              </w:numPr>
              <w:jc w:val="both"/>
              <w:rPr>
                <w:rFonts w:ascii="Arial" w:hAnsi="Arial" w:cs="Arial"/>
                <w:sz w:val="32"/>
                <w:szCs w:val="32"/>
              </w:rPr>
            </w:pPr>
          </w:p>
        </w:tc>
        <w:tc>
          <w:tcPr>
            <w:tcW w:w="6825" w:type="dxa"/>
          </w:tcPr>
          <w:p w14:paraId="6B7DF920" w14:textId="71F34F19" w:rsidR="00C57AF9" w:rsidRPr="00E74A43" w:rsidRDefault="00C57AF9" w:rsidP="00C57AF9">
            <w:pPr>
              <w:rPr>
                <w:rFonts w:ascii="Arial" w:hAnsi="Arial" w:cs="Arial"/>
                <w:sz w:val="32"/>
                <w:szCs w:val="32"/>
              </w:rPr>
            </w:pPr>
            <w:r w:rsidRPr="00E74A43">
              <w:rPr>
                <w:rFonts w:ascii="Arial" w:hAnsi="Arial" w:cs="Arial"/>
                <w:sz w:val="32"/>
                <w:szCs w:val="32"/>
              </w:rPr>
              <w:t xml:space="preserve">Governance </w:t>
            </w:r>
            <w:r w:rsidR="009543FC">
              <w:rPr>
                <w:rFonts w:ascii="Arial" w:hAnsi="Arial" w:cs="Arial"/>
                <w:sz w:val="32"/>
                <w:szCs w:val="32"/>
              </w:rPr>
              <w:t xml:space="preserve">and Delivery </w:t>
            </w:r>
          </w:p>
        </w:tc>
        <w:tc>
          <w:tcPr>
            <w:tcW w:w="1559" w:type="dxa"/>
          </w:tcPr>
          <w:p w14:paraId="5ACB240E" w14:textId="1FC099AA" w:rsidR="00C57AF9" w:rsidRPr="004457A6" w:rsidRDefault="00AB4F39" w:rsidP="00A41356">
            <w:pPr>
              <w:pStyle w:val="ListParagraph"/>
              <w:ind w:left="0"/>
              <w:rPr>
                <w:rFonts w:ascii="Arial" w:hAnsi="Arial" w:cs="Arial"/>
                <w:sz w:val="32"/>
                <w:szCs w:val="32"/>
              </w:rPr>
            </w:pPr>
            <w:r>
              <w:rPr>
                <w:rFonts w:ascii="Arial" w:hAnsi="Arial" w:cs="Arial"/>
                <w:sz w:val="32"/>
                <w:szCs w:val="32"/>
              </w:rPr>
              <w:t>4</w:t>
            </w:r>
          </w:p>
        </w:tc>
      </w:tr>
      <w:tr w:rsidR="00C57AF9" w:rsidRPr="00E74A43" w14:paraId="5517BD34" w14:textId="6B11CD3A" w:rsidTr="00A41356">
        <w:tc>
          <w:tcPr>
            <w:tcW w:w="825" w:type="dxa"/>
          </w:tcPr>
          <w:p w14:paraId="29D65159" w14:textId="77777777" w:rsidR="00C57AF9" w:rsidRPr="00E74A43" w:rsidRDefault="00C57AF9" w:rsidP="00C57AF9">
            <w:pPr>
              <w:pStyle w:val="ListParagraph"/>
              <w:numPr>
                <w:ilvl w:val="0"/>
                <w:numId w:val="1"/>
              </w:numPr>
              <w:jc w:val="both"/>
              <w:rPr>
                <w:rFonts w:ascii="Arial" w:hAnsi="Arial" w:cs="Arial"/>
                <w:sz w:val="32"/>
                <w:szCs w:val="32"/>
              </w:rPr>
            </w:pPr>
          </w:p>
        </w:tc>
        <w:tc>
          <w:tcPr>
            <w:tcW w:w="6825" w:type="dxa"/>
          </w:tcPr>
          <w:p w14:paraId="1DFB8486" w14:textId="4C53E787" w:rsidR="00C57AF9" w:rsidRPr="00E74A43" w:rsidRDefault="00C57AF9" w:rsidP="00C57AF9">
            <w:pPr>
              <w:rPr>
                <w:rFonts w:ascii="Arial" w:hAnsi="Arial" w:cs="Arial"/>
                <w:sz w:val="32"/>
                <w:szCs w:val="32"/>
              </w:rPr>
            </w:pPr>
            <w:r w:rsidRPr="00E74A43">
              <w:rPr>
                <w:rFonts w:ascii="Arial" w:hAnsi="Arial" w:cs="Arial"/>
                <w:sz w:val="32"/>
                <w:szCs w:val="32"/>
              </w:rPr>
              <w:t xml:space="preserve">Realising and demonstrating </w:t>
            </w:r>
            <w:r w:rsidR="00495B65">
              <w:rPr>
                <w:rFonts w:ascii="Arial" w:hAnsi="Arial" w:cs="Arial"/>
                <w:sz w:val="32"/>
                <w:szCs w:val="32"/>
              </w:rPr>
              <w:t>VFM</w:t>
            </w:r>
          </w:p>
        </w:tc>
        <w:tc>
          <w:tcPr>
            <w:tcW w:w="1559" w:type="dxa"/>
          </w:tcPr>
          <w:p w14:paraId="24FB09D5" w14:textId="6D3616C5" w:rsidR="00C57AF9" w:rsidRPr="004457A6" w:rsidRDefault="00AB4F39" w:rsidP="00A41356">
            <w:pPr>
              <w:pStyle w:val="ListParagraph"/>
              <w:ind w:left="0"/>
              <w:rPr>
                <w:rFonts w:ascii="Arial" w:hAnsi="Arial" w:cs="Arial"/>
                <w:sz w:val="32"/>
                <w:szCs w:val="32"/>
              </w:rPr>
            </w:pPr>
            <w:r>
              <w:rPr>
                <w:rFonts w:ascii="Arial" w:hAnsi="Arial" w:cs="Arial"/>
                <w:sz w:val="32"/>
                <w:szCs w:val="32"/>
              </w:rPr>
              <w:t>5</w:t>
            </w:r>
          </w:p>
        </w:tc>
      </w:tr>
      <w:tr w:rsidR="00C57AF9" w:rsidRPr="00E74A43" w14:paraId="2DC78B39" w14:textId="3046EAF4" w:rsidTr="00A41356">
        <w:tc>
          <w:tcPr>
            <w:tcW w:w="825" w:type="dxa"/>
          </w:tcPr>
          <w:p w14:paraId="0AC25A65" w14:textId="77777777" w:rsidR="00C57AF9" w:rsidRPr="00E74A43" w:rsidRDefault="00C57AF9" w:rsidP="00C57AF9">
            <w:pPr>
              <w:pStyle w:val="ListParagraph"/>
              <w:numPr>
                <w:ilvl w:val="0"/>
                <w:numId w:val="1"/>
              </w:numPr>
              <w:jc w:val="both"/>
              <w:rPr>
                <w:rFonts w:ascii="Arial" w:hAnsi="Arial" w:cs="Arial"/>
                <w:sz w:val="32"/>
                <w:szCs w:val="32"/>
              </w:rPr>
            </w:pPr>
          </w:p>
        </w:tc>
        <w:tc>
          <w:tcPr>
            <w:tcW w:w="6825" w:type="dxa"/>
          </w:tcPr>
          <w:p w14:paraId="5D129ABF" w14:textId="19599E79" w:rsidR="00C57AF9" w:rsidRPr="00E74A43" w:rsidRDefault="00495B65" w:rsidP="00C57AF9">
            <w:pPr>
              <w:rPr>
                <w:rFonts w:ascii="Arial" w:hAnsi="Arial" w:cs="Arial"/>
                <w:sz w:val="32"/>
                <w:szCs w:val="32"/>
              </w:rPr>
            </w:pPr>
            <w:r>
              <w:rPr>
                <w:rFonts w:ascii="Arial" w:hAnsi="Arial" w:cs="Arial"/>
                <w:sz w:val="32"/>
                <w:szCs w:val="32"/>
              </w:rPr>
              <w:t>VFM</w:t>
            </w:r>
            <w:r w:rsidR="00BE0A23">
              <w:rPr>
                <w:rFonts w:ascii="Arial" w:hAnsi="Arial" w:cs="Arial"/>
                <w:sz w:val="32"/>
                <w:szCs w:val="32"/>
              </w:rPr>
              <w:t xml:space="preserve"> </w:t>
            </w:r>
            <w:r w:rsidR="00F07EDA">
              <w:rPr>
                <w:rFonts w:ascii="Arial" w:hAnsi="Arial" w:cs="Arial"/>
                <w:sz w:val="32"/>
                <w:szCs w:val="32"/>
              </w:rPr>
              <w:t xml:space="preserve">Strategy Action plan </w:t>
            </w:r>
          </w:p>
        </w:tc>
        <w:tc>
          <w:tcPr>
            <w:tcW w:w="1559" w:type="dxa"/>
          </w:tcPr>
          <w:p w14:paraId="2BB0557A" w14:textId="605DB654" w:rsidR="00C57AF9" w:rsidRPr="004457A6" w:rsidRDefault="00AB4F39" w:rsidP="00A41356">
            <w:pPr>
              <w:pStyle w:val="ListParagraph"/>
              <w:ind w:left="0"/>
              <w:rPr>
                <w:rFonts w:ascii="Arial" w:hAnsi="Arial" w:cs="Arial"/>
                <w:sz w:val="32"/>
                <w:szCs w:val="32"/>
              </w:rPr>
            </w:pPr>
            <w:r>
              <w:rPr>
                <w:rFonts w:ascii="Arial" w:hAnsi="Arial" w:cs="Arial"/>
                <w:sz w:val="32"/>
                <w:szCs w:val="32"/>
              </w:rPr>
              <w:t>5</w:t>
            </w:r>
          </w:p>
        </w:tc>
      </w:tr>
      <w:tr w:rsidR="00C57AF9" w:rsidRPr="00E74A43" w14:paraId="1FEF6A51" w14:textId="3E3C43C1" w:rsidTr="00A41356">
        <w:tc>
          <w:tcPr>
            <w:tcW w:w="825" w:type="dxa"/>
          </w:tcPr>
          <w:p w14:paraId="5B34CA85" w14:textId="77777777" w:rsidR="00C57AF9" w:rsidRPr="00E74A43" w:rsidRDefault="00C57AF9" w:rsidP="00C57AF9">
            <w:pPr>
              <w:pStyle w:val="ListParagraph"/>
              <w:numPr>
                <w:ilvl w:val="0"/>
                <w:numId w:val="1"/>
              </w:numPr>
              <w:jc w:val="both"/>
              <w:rPr>
                <w:rFonts w:ascii="Arial" w:hAnsi="Arial" w:cs="Arial"/>
                <w:sz w:val="32"/>
                <w:szCs w:val="32"/>
              </w:rPr>
            </w:pPr>
          </w:p>
        </w:tc>
        <w:tc>
          <w:tcPr>
            <w:tcW w:w="6825" w:type="dxa"/>
          </w:tcPr>
          <w:p w14:paraId="134A2EBB" w14:textId="0DE24AB8" w:rsidR="00C57AF9" w:rsidRPr="00E74A43" w:rsidRDefault="00F07EDA" w:rsidP="00C57AF9">
            <w:pPr>
              <w:rPr>
                <w:rFonts w:ascii="Arial" w:hAnsi="Arial" w:cs="Arial"/>
                <w:sz w:val="32"/>
                <w:szCs w:val="32"/>
              </w:rPr>
            </w:pPr>
            <w:r>
              <w:rPr>
                <w:rFonts w:ascii="Arial" w:hAnsi="Arial" w:cs="Arial"/>
                <w:sz w:val="32"/>
                <w:szCs w:val="32"/>
              </w:rPr>
              <w:t>Review</w:t>
            </w:r>
          </w:p>
        </w:tc>
        <w:tc>
          <w:tcPr>
            <w:tcW w:w="1559" w:type="dxa"/>
          </w:tcPr>
          <w:p w14:paraId="290015E9" w14:textId="61AFB3C4" w:rsidR="00C57AF9" w:rsidRPr="004457A6" w:rsidRDefault="00AB4F39" w:rsidP="00A41356">
            <w:pPr>
              <w:pStyle w:val="ListParagraph"/>
              <w:ind w:left="0"/>
              <w:rPr>
                <w:rFonts w:ascii="Arial" w:hAnsi="Arial" w:cs="Arial"/>
                <w:sz w:val="32"/>
                <w:szCs w:val="32"/>
              </w:rPr>
            </w:pPr>
            <w:r>
              <w:rPr>
                <w:rFonts w:ascii="Arial" w:hAnsi="Arial" w:cs="Arial"/>
                <w:sz w:val="32"/>
                <w:szCs w:val="32"/>
              </w:rPr>
              <w:t>5</w:t>
            </w:r>
          </w:p>
        </w:tc>
      </w:tr>
      <w:tr w:rsidR="00B61883" w:rsidRPr="00E74A43" w14:paraId="1814CBB8" w14:textId="77777777" w:rsidTr="00A41356">
        <w:tc>
          <w:tcPr>
            <w:tcW w:w="825" w:type="dxa"/>
          </w:tcPr>
          <w:p w14:paraId="0A89FA17" w14:textId="77777777" w:rsidR="00B61883" w:rsidRPr="00E74A43" w:rsidRDefault="00B61883" w:rsidP="00C57AF9">
            <w:pPr>
              <w:pStyle w:val="ListParagraph"/>
              <w:numPr>
                <w:ilvl w:val="0"/>
                <w:numId w:val="1"/>
              </w:numPr>
              <w:jc w:val="both"/>
              <w:rPr>
                <w:rFonts w:ascii="Arial" w:hAnsi="Arial" w:cs="Arial"/>
                <w:sz w:val="32"/>
                <w:szCs w:val="32"/>
              </w:rPr>
            </w:pPr>
          </w:p>
        </w:tc>
        <w:tc>
          <w:tcPr>
            <w:tcW w:w="6825" w:type="dxa"/>
          </w:tcPr>
          <w:p w14:paraId="6A4BEBC4" w14:textId="2B8CCD49" w:rsidR="00B61883" w:rsidRDefault="00B61883" w:rsidP="00C57AF9">
            <w:pPr>
              <w:rPr>
                <w:rFonts w:ascii="Arial" w:hAnsi="Arial" w:cs="Arial"/>
                <w:sz w:val="32"/>
                <w:szCs w:val="32"/>
              </w:rPr>
            </w:pPr>
            <w:r>
              <w:rPr>
                <w:rFonts w:ascii="Arial" w:hAnsi="Arial" w:cs="Arial"/>
                <w:sz w:val="32"/>
                <w:szCs w:val="32"/>
              </w:rPr>
              <w:t>Glossary</w:t>
            </w:r>
          </w:p>
        </w:tc>
        <w:tc>
          <w:tcPr>
            <w:tcW w:w="1559" w:type="dxa"/>
          </w:tcPr>
          <w:p w14:paraId="7DA0ACDE" w14:textId="36E1418E" w:rsidR="00B61883" w:rsidRDefault="00AB4F39" w:rsidP="00A41356">
            <w:pPr>
              <w:pStyle w:val="ListParagraph"/>
              <w:ind w:left="0"/>
              <w:rPr>
                <w:rFonts w:ascii="Arial" w:hAnsi="Arial" w:cs="Arial"/>
                <w:sz w:val="32"/>
                <w:szCs w:val="32"/>
              </w:rPr>
            </w:pPr>
            <w:r>
              <w:rPr>
                <w:rFonts w:ascii="Arial" w:hAnsi="Arial" w:cs="Arial"/>
                <w:sz w:val="32"/>
                <w:szCs w:val="32"/>
              </w:rPr>
              <w:t>5</w:t>
            </w:r>
          </w:p>
        </w:tc>
      </w:tr>
      <w:tr w:rsidR="00F521C3" w:rsidRPr="00E74A43" w14:paraId="7533B7B1" w14:textId="77777777" w:rsidTr="00A41356">
        <w:tc>
          <w:tcPr>
            <w:tcW w:w="825" w:type="dxa"/>
          </w:tcPr>
          <w:p w14:paraId="59370445" w14:textId="77777777" w:rsidR="00F521C3" w:rsidRPr="00E74A43" w:rsidRDefault="00F521C3" w:rsidP="00F521C3">
            <w:pPr>
              <w:pStyle w:val="ListParagraph"/>
              <w:ind w:left="360"/>
              <w:jc w:val="both"/>
              <w:rPr>
                <w:rFonts w:ascii="Arial" w:hAnsi="Arial" w:cs="Arial"/>
                <w:sz w:val="32"/>
                <w:szCs w:val="32"/>
              </w:rPr>
            </w:pPr>
          </w:p>
        </w:tc>
        <w:tc>
          <w:tcPr>
            <w:tcW w:w="6825" w:type="dxa"/>
          </w:tcPr>
          <w:p w14:paraId="5941A68D" w14:textId="4CC163BB" w:rsidR="00F521C3" w:rsidRDefault="00F521C3" w:rsidP="00C57AF9">
            <w:pPr>
              <w:rPr>
                <w:rFonts w:ascii="Arial" w:hAnsi="Arial" w:cs="Arial"/>
                <w:sz w:val="32"/>
                <w:szCs w:val="32"/>
              </w:rPr>
            </w:pPr>
            <w:r>
              <w:rPr>
                <w:rFonts w:ascii="Arial" w:hAnsi="Arial" w:cs="Arial"/>
                <w:sz w:val="32"/>
                <w:szCs w:val="32"/>
              </w:rPr>
              <w:t>A</w:t>
            </w:r>
            <w:r w:rsidR="00B54D3C">
              <w:rPr>
                <w:rFonts w:ascii="Arial" w:hAnsi="Arial" w:cs="Arial"/>
                <w:sz w:val="32"/>
                <w:szCs w:val="32"/>
              </w:rPr>
              <w:t>ppendix</w:t>
            </w:r>
            <w:r>
              <w:rPr>
                <w:rFonts w:ascii="Arial" w:hAnsi="Arial" w:cs="Arial"/>
                <w:sz w:val="32"/>
                <w:szCs w:val="32"/>
              </w:rPr>
              <w:t xml:space="preserve"> </w:t>
            </w:r>
            <w:r w:rsidR="00816951">
              <w:rPr>
                <w:rFonts w:ascii="Arial" w:hAnsi="Arial" w:cs="Arial"/>
                <w:sz w:val="32"/>
                <w:szCs w:val="32"/>
              </w:rPr>
              <w:t>A</w:t>
            </w:r>
            <w:r w:rsidR="00B6630D">
              <w:rPr>
                <w:rFonts w:ascii="Arial" w:hAnsi="Arial" w:cs="Arial"/>
                <w:sz w:val="32"/>
                <w:szCs w:val="32"/>
              </w:rPr>
              <w:t xml:space="preserve"> </w:t>
            </w:r>
            <w:r>
              <w:rPr>
                <w:rFonts w:ascii="Arial" w:hAnsi="Arial" w:cs="Arial"/>
                <w:sz w:val="32"/>
                <w:szCs w:val="32"/>
              </w:rPr>
              <w:t xml:space="preserve">- </w:t>
            </w:r>
            <w:r w:rsidR="00EC6B31">
              <w:rPr>
                <w:rFonts w:ascii="Arial" w:hAnsi="Arial" w:cs="Arial"/>
                <w:sz w:val="32"/>
                <w:szCs w:val="32"/>
              </w:rPr>
              <w:t xml:space="preserve">24-26 VFM Strategy Achievements </w:t>
            </w:r>
          </w:p>
          <w:p w14:paraId="389345AA" w14:textId="4B609414" w:rsidR="00B6630D" w:rsidRDefault="00850867" w:rsidP="00C57AF9">
            <w:pPr>
              <w:rPr>
                <w:rFonts w:ascii="Arial" w:hAnsi="Arial" w:cs="Arial"/>
                <w:sz w:val="32"/>
                <w:szCs w:val="32"/>
              </w:rPr>
            </w:pPr>
            <w:r>
              <w:rPr>
                <w:rFonts w:ascii="Arial" w:hAnsi="Arial" w:cs="Arial"/>
                <w:sz w:val="32"/>
                <w:szCs w:val="32"/>
              </w:rPr>
              <w:t>A</w:t>
            </w:r>
            <w:r w:rsidR="00B54D3C">
              <w:rPr>
                <w:rFonts w:ascii="Arial" w:hAnsi="Arial" w:cs="Arial"/>
                <w:sz w:val="32"/>
                <w:szCs w:val="32"/>
              </w:rPr>
              <w:t>ppendix</w:t>
            </w:r>
            <w:r>
              <w:rPr>
                <w:rFonts w:ascii="Arial" w:hAnsi="Arial" w:cs="Arial"/>
                <w:sz w:val="32"/>
                <w:szCs w:val="32"/>
              </w:rPr>
              <w:t xml:space="preserve"> </w:t>
            </w:r>
            <w:r w:rsidR="00816951">
              <w:rPr>
                <w:rFonts w:ascii="Arial" w:hAnsi="Arial" w:cs="Arial"/>
                <w:sz w:val="32"/>
                <w:szCs w:val="32"/>
              </w:rPr>
              <w:t>B</w:t>
            </w:r>
            <w:r w:rsidR="00B6630D">
              <w:rPr>
                <w:rFonts w:ascii="Arial" w:hAnsi="Arial" w:cs="Arial"/>
                <w:sz w:val="32"/>
                <w:szCs w:val="32"/>
              </w:rPr>
              <w:t xml:space="preserve"> </w:t>
            </w:r>
            <w:r w:rsidR="00F000F2">
              <w:rPr>
                <w:rFonts w:ascii="Arial" w:hAnsi="Arial" w:cs="Arial"/>
                <w:sz w:val="32"/>
                <w:szCs w:val="32"/>
              </w:rPr>
              <w:t>-</w:t>
            </w:r>
            <w:r w:rsidR="00B6630D">
              <w:rPr>
                <w:rFonts w:ascii="Arial" w:hAnsi="Arial" w:cs="Arial"/>
                <w:sz w:val="32"/>
                <w:szCs w:val="32"/>
              </w:rPr>
              <w:t xml:space="preserve"> </w:t>
            </w:r>
            <w:r w:rsidR="00BE488E">
              <w:rPr>
                <w:rFonts w:ascii="Arial" w:hAnsi="Arial" w:cs="Arial"/>
                <w:sz w:val="32"/>
                <w:szCs w:val="32"/>
              </w:rPr>
              <w:t xml:space="preserve">RSH VFM Metrics </w:t>
            </w:r>
          </w:p>
          <w:p w14:paraId="2EABB7A4" w14:textId="55D2DD04" w:rsidR="00BE488E" w:rsidRDefault="00BE488E" w:rsidP="00C57AF9">
            <w:pPr>
              <w:rPr>
                <w:rFonts w:ascii="Arial" w:hAnsi="Arial" w:cs="Arial"/>
                <w:sz w:val="32"/>
                <w:szCs w:val="32"/>
              </w:rPr>
            </w:pPr>
            <w:r>
              <w:rPr>
                <w:rFonts w:ascii="Arial" w:hAnsi="Arial" w:cs="Arial"/>
                <w:sz w:val="32"/>
                <w:szCs w:val="32"/>
              </w:rPr>
              <w:t xml:space="preserve">Appendix C </w:t>
            </w:r>
            <w:r w:rsidR="00F000F2">
              <w:rPr>
                <w:rFonts w:ascii="Arial" w:hAnsi="Arial" w:cs="Arial"/>
                <w:sz w:val="32"/>
                <w:szCs w:val="32"/>
              </w:rPr>
              <w:t xml:space="preserve">- </w:t>
            </w:r>
            <w:r w:rsidR="00F000F2" w:rsidRPr="00BE488E">
              <w:rPr>
                <w:rFonts w:ascii="Arial" w:hAnsi="Arial" w:cs="Arial"/>
                <w:sz w:val="32"/>
                <w:szCs w:val="32"/>
              </w:rPr>
              <w:t>VFM</w:t>
            </w:r>
            <w:r w:rsidRPr="00BE488E">
              <w:rPr>
                <w:rFonts w:ascii="Arial" w:hAnsi="Arial" w:cs="Arial"/>
                <w:sz w:val="32"/>
                <w:szCs w:val="32"/>
              </w:rPr>
              <w:t xml:space="preserve"> Action Plan and Measures</w:t>
            </w:r>
          </w:p>
        </w:tc>
        <w:tc>
          <w:tcPr>
            <w:tcW w:w="1559" w:type="dxa"/>
          </w:tcPr>
          <w:p w14:paraId="63170275" w14:textId="77777777" w:rsidR="00F521C3" w:rsidRDefault="00AB4F39" w:rsidP="00AB4F39">
            <w:pPr>
              <w:rPr>
                <w:rFonts w:ascii="Arial" w:hAnsi="Arial" w:cs="Arial"/>
                <w:sz w:val="32"/>
                <w:szCs w:val="32"/>
              </w:rPr>
            </w:pPr>
            <w:r>
              <w:rPr>
                <w:rFonts w:ascii="Arial" w:hAnsi="Arial" w:cs="Arial"/>
                <w:sz w:val="32"/>
                <w:szCs w:val="32"/>
              </w:rPr>
              <w:t>6-</w:t>
            </w:r>
            <w:r w:rsidR="002F5A48">
              <w:rPr>
                <w:rFonts w:ascii="Arial" w:hAnsi="Arial" w:cs="Arial"/>
                <w:sz w:val="32"/>
                <w:szCs w:val="32"/>
              </w:rPr>
              <w:t>8</w:t>
            </w:r>
          </w:p>
          <w:p w14:paraId="40D53B26" w14:textId="77777777" w:rsidR="002F5A48" w:rsidRDefault="002F5A48" w:rsidP="00AB4F39">
            <w:pPr>
              <w:rPr>
                <w:rFonts w:ascii="Arial" w:hAnsi="Arial" w:cs="Arial"/>
                <w:sz w:val="32"/>
                <w:szCs w:val="32"/>
              </w:rPr>
            </w:pPr>
          </w:p>
          <w:p w14:paraId="00BB2AD0" w14:textId="42A5D3EF" w:rsidR="002F5A48" w:rsidRDefault="002F5A48" w:rsidP="00AB4F39">
            <w:pPr>
              <w:rPr>
                <w:rFonts w:ascii="Arial" w:hAnsi="Arial" w:cs="Arial"/>
                <w:sz w:val="32"/>
                <w:szCs w:val="32"/>
              </w:rPr>
            </w:pPr>
            <w:r>
              <w:rPr>
                <w:rFonts w:ascii="Arial" w:hAnsi="Arial" w:cs="Arial"/>
                <w:sz w:val="32"/>
                <w:szCs w:val="32"/>
              </w:rPr>
              <w:t>tbc</w:t>
            </w:r>
          </w:p>
          <w:p w14:paraId="0CB0C9A0" w14:textId="44B5EAD6" w:rsidR="002F5A48" w:rsidRPr="00AB4F39" w:rsidRDefault="009D3B85" w:rsidP="00AB4F39">
            <w:pPr>
              <w:rPr>
                <w:rFonts w:ascii="Arial" w:hAnsi="Arial" w:cs="Arial"/>
                <w:sz w:val="32"/>
                <w:szCs w:val="32"/>
              </w:rPr>
            </w:pPr>
            <w:r>
              <w:rPr>
                <w:rFonts w:ascii="Arial" w:hAnsi="Arial" w:cs="Arial"/>
                <w:sz w:val="32"/>
                <w:szCs w:val="32"/>
              </w:rPr>
              <w:t>9-11</w:t>
            </w:r>
          </w:p>
        </w:tc>
      </w:tr>
    </w:tbl>
    <w:p w14:paraId="6A98C2D2" w14:textId="77777777" w:rsidR="00802EAC" w:rsidRPr="00E74A43" w:rsidRDefault="00802EAC">
      <w:pPr>
        <w:rPr>
          <w:rFonts w:ascii="Arial" w:hAnsi="Arial" w:cs="Arial"/>
          <w:sz w:val="32"/>
          <w:szCs w:val="32"/>
        </w:rPr>
      </w:pPr>
    </w:p>
    <w:p w14:paraId="34EA9254" w14:textId="23AEFE15" w:rsidR="00CF0921" w:rsidRPr="00E74A43" w:rsidRDefault="00CF0921" w:rsidP="00E44F98">
      <w:pPr>
        <w:rPr>
          <w:rFonts w:ascii="Arial" w:hAnsi="Arial" w:cs="Arial"/>
          <w:sz w:val="32"/>
          <w:szCs w:val="32"/>
        </w:rPr>
      </w:pPr>
    </w:p>
    <w:p w14:paraId="7436C468" w14:textId="7419B035" w:rsidR="00F0071A" w:rsidRDefault="00F0071A" w:rsidP="00E44F98">
      <w:pPr>
        <w:rPr>
          <w:rFonts w:ascii="Arial" w:hAnsi="Arial" w:cs="Arial"/>
          <w:sz w:val="28"/>
          <w:szCs w:val="28"/>
        </w:rPr>
      </w:pPr>
    </w:p>
    <w:p w14:paraId="1889C6C9" w14:textId="789BC54A" w:rsidR="00F0071A" w:rsidRDefault="00F0071A" w:rsidP="00E44F98">
      <w:pPr>
        <w:rPr>
          <w:rFonts w:ascii="Arial" w:hAnsi="Arial" w:cs="Arial"/>
          <w:sz w:val="28"/>
          <w:szCs w:val="28"/>
        </w:rPr>
      </w:pPr>
    </w:p>
    <w:p w14:paraId="0AEC9189" w14:textId="3097ECBE" w:rsidR="00F0071A" w:rsidRDefault="00F0071A" w:rsidP="00E44F98">
      <w:pPr>
        <w:rPr>
          <w:rFonts w:ascii="Arial" w:hAnsi="Arial" w:cs="Arial"/>
          <w:sz w:val="28"/>
          <w:szCs w:val="28"/>
        </w:rPr>
      </w:pPr>
    </w:p>
    <w:p w14:paraId="4F6202CC" w14:textId="7E123AC6" w:rsidR="00F0071A" w:rsidRDefault="00F0071A" w:rsidP="00E44F98">
      <w:pPr>
        <w:rPr>
          <w:rFonts w:ascii="Arial" w:hAnsi="Arial" w:cs="Arial"/>
          <w:sz w:val="28"/>
          <w:szCs w:val="28"/>
        </w:rPr>
      </w:pPr>
    </w:p>
    <w:p w14:paraId="1C65C900" w14:textId="07DCBD46" w:rsidR="00F0071A" w:rsidRDefault="00F0071A" w:rsidP="00E44F98">
      <w:pPr>
        <w:rPr>
          <w:rFonts w:ascii="Arial" w:hAnsi="Arial" w:cs="Arial"/>
          <w:sz w:val="28"/>
          <w:szCs w:val="28"/>
        </w:rPr>
      </w:pPr>
    </w:p>
    <w:p w14:paraId="3A55E9B7" w14:textId="0CF3EFAB" w:rsidR="00F0071A" w:rsidRDefault="00F0071A" w:rsidP="00E44F98">
      <w:pPr>
        <w:rPr>
          <w:rFonts w:ascii="Arial" w:hAnsi="Arial" w:cs="Arial"/>
          <w:sz w:val="28"/>
          <w:szCs w:val="28"/>
        </w:rPr>
      </w:pPr>
    </w:p>
    <w:p w14:paraId="053E32F7" w14:textId="3E35D7EA" w:rsidR="00F0071A" w:rsidRDefault="00F0071A" w:rsidP="00E44F98">
      <w:pPr>
        <w:rPr>
          <w:rFonts w:ascii="Arial" w:hAnsi="Arial" w:cs="Arial"/>
          <w:sz w:val="28"/>
          <w:szCs w:val="28"/>
        </w:rPr>
      </w:pPr>
    </w:p>
    <w:p w14:paraId="32A90FF7" w14:textId="1AD6360C" w:rsidR="00F0071A" w:rsidRDefault="00F0071A" w:rsidP="00E44F98">
      <w:pPr>
        <w:rPr>
          <w:rFonts w:ascii="Arial" w:hAnsi="Arial" w:cs="Arial"/>
          <w:sz w:val="28"/>
          <w:szCs w:val="28"/>
        </w:rPr>
      </w:pPr>
    </w:p>
    <w:p w14:paraId="3553955F" w14:textId="77777777" w:rsidR="0005541B" w:rsidRDefault="0005541B" w:rsidP="00E44F98">
      <w:pPr>
        <w:rPr>
          <w:rFonts w:ascii="Arial" w:hAnsi="Arial" w:cs="Arial"/>
          <w:sz w:val="28"/>
          <w:szCs w:val="28"/>
        </w:rPr>
      </w:pPr>
    </w:p>
    <w:p w14:paraId="5D19D291" w14:textId="77777777" w:rsidR="00D74B3D" w:rsidRDefault="00D74B3D" w:rsidP="00E44F98">
      <w:pPr>
        <w:rPr>
          <w:rFonts w:ascii="Arial" w:hAnsi="Arial" w:cs="Arial"/>
          <w:sz w:val="28"/>
          <w:szCs w:val="28"/>
        </w:rPr>
      </w:pPr>
    </w:p>
    <w:p w14:paraId="7692AFE2" w14:textId="77777777" w:rsidR="009543FC" w:rsidRDefault="009543FC" w:rsidP="00E44F98">
      <w:pPr>
        <w:rPr>
          <w:rFonts w:ascii="Arial" w:hAnsi="Arial" w:cs="Arial"/>
          <w:sz w:val="28"/>
          <w:szCs w:val="28"/>
        </w:rPr>
      </w:pPr>
    </w:p>
    <w:p w14:paraId="59E6A0CE" w14:textId="77777777" w:rsidR="00D74B3D" w:rsidRDefault="00D74B3D" w:rsidP="00E44F98">
      <w:pPr>
        <w:rPr>
          <w:rFonts w:ascii="Arial" w:hAnsi="Arial" w:cs="Arial"/>
          <w:sz w:val="28"/>
          <w:szCs w:val="28"/>
        </w:rPr>
      </w:pPr>
    </w:p>
    <w:p w14:paraId="746DD292" w14:textId="77777777" w:rsidR="00D74B3D" w:rsidRDefault="00D74B3D" w:rsidP="00E44F98">
      <w:pPr>
        <w:rPr>
          <w:rFonts w:ascii="Arial" w:hAnsi="Arial" w:cs="Arial"/>
          <w:sz w:val="28"/>
          <w:szCs w:val="28"/>
        </w:rPr>
      </w:pPr>
    </w:p>
    <w:p w14:paraId="4AE89422" w14:textId="77777777" w:rsidR="00D74B3D" w:rsidRPr="00D36A3E" w:rsidRDefault="00D74B3D" w:rsidP="00E44F98">
      <w:pPr>
        <w:rPr>
          <w:rFonts w:ascii="Arial" w:hAnsi="Arial" w:cs="Arial"/>
        </w:rPr>
      </w:pPr>
    </w:p>
    <w:p w14:paraId="4F81E2FA" w14:textId="4A271C08" w:rsidR="00F0071A" w:rsidRPr="009D3B85" w:rsidRDefault="00F0071A" w:rsidP="00B369C7">
      <w:pPr>
        <w:pStyle w:val="ListParagraph"/>
        <w:numPr>
          <w:ilvl w:val="0"/>
          <w:numId w:val="2"/>
        </w:numPr>
        <w:jc w:val="both"/>
        <w:rPr>
          <w:rFonts w:ascii="Arial" w:hAnsi="Arial" w:cs="Arial"/>
          <w:b/>
        </w:rPr>
      </w:pPr>
      <w:r w:rsidRPr="009D3B85">
        <w:rPr>
          <w:rFonts w:ascii="Arial" w:hAnsi="Arial" w:cs="Arial"/>
          <w:b/>
        </w:rPr>
        <w:lastRenderedPageBreak/>
        <w:t>Introduction</w:t>
      </w:r>
    </w:p>
    <w:p w14:paraId="596B3FF0" w14:textId="1DE95126" w:rsidR="00A977EB" w:rsidRPr="009D3B85" w:rsidRDefault="00A977EB" w:rsidP="00B369C7">
      <w:pPr>
        <w:pStyle w:val="ListParagraph"/>
        <w:jc w:val="both"/>
        <w:rPr>
          <w:rFonts w:ascii="Arial" w:hAnsi="Arial" w:cs="Arial"/>
        </w:rPr>
      </w:pPr>
    </w:p>
    <w:p w14:paraId="0F2F32D6" w14:textId="25E61F91" w:rsidR="008C7BCF" w:rsidRPr="009D3B85" w:rsidRDefault="008C7BCF" w:rsidP="00B369C7">
      <w:pPr>
        <w:jc w:val="both"/>
        <w:rPr>
          <w:rFonts w:ascii="Arial" w:hAnsi="Arial" w:cs="Arial"/>
        </w:rPr>
      </w:pPr>
      <w:r w:rsidRPr="009D3B85">
        <w:rPr>
          <w:rFonts w:ascii="Arial" w:hAnsi="Arial" w:cs="Arial"/>
        </w:rPr>
        <w:t>This refreshed Value for Money (VFM) Strategy sets out the strategic priorities and main objectives that will be delivered between April 2026 and March 2029. It builds on the progress made under the previous VFM Strategy covering 2024 to 2026 (</w:t>
      </w:r>
      <w:r w:rsidR="00D7714B">
        <w:rPr>
          <w:rFonts w:ascii="Arial" w:hAnsi="Arial" w:cs="Arial"/>
        </w:rPr>
        <w:t xml:space="preserve">achievements from that strategy are summarised in </w:t>
      </w:r>
      <w:r w:rsidRPr="009D3B85">
        <w:rPr>
          <w:rFonts w:ascii="Arial" w:hAnsi="Arial" w:cs="Arial"/>
        </w:rPr>
        <w:t>Appendix A).</w:t>
      </w:r>
    </w:p>
    <w:p w14:paraId="20BE0061" w14:textId="77777777" w:rsidR="008C7BCF" w:rsidRPr="009D3B85" w:rsidRDefault="008C7BCF" w:rsidP="00B369C7">
      <w:pPr>
        <w:jc w:val="both"/>
        <w:rPr>
          <w:rFonts w:ascii="Arial" w:hAnsi="Arial" w:cs="Arial"/>
        </w:rPr>
      </w:pPr>
      <w:r w:rsidRPr="009D3B85">
        <w:rPr>
          <w:rFonts w:ascii="Arial" w:hAnsi="Arial" w:cs="Arial"/>
        </w:rPr>
        <w:t>Value for Money is central to how WCHG delivers its purpose. We are committed to using every pound wisely to provide high</w:t>
      </w:r>
      <w:r w:rsidRPr="009D3B85">
        <w:rPr>
          <w:rFonts w:ascii="Cambria Math" w:hAnsi="Cambria Math" w:cs="Cambria Math"/>
        </w:rPr>
        <w:t>‑</w:t>
      </w:r>
      <w:r w:rsidRPr="009D3B85">
        <w:rPr>
          <w:rFonts w:ascii="Arial" w:hAnsi="Arial" w:cs="Arial"/>
        </w:rPr>
        <w:t>quality services and strong outcomes for our customers and communities. This means running the organisation efficiently and effectively, focusing resources on what matters most to customers, and reducing activity that adds limited value. Achieving good value depends on a culture where colleagues feel empowered to challenge existing ways of working, identify improvements, and put forward ideas that enhance service quality or reduce waste.</w:t>
      </w:r>
    </w:p>
    <w:p w14:paraId="34214B67" w14:textId="77777777" w:rsidR="008C7BCF" w:rsidRPr="009D3B85" w:rsidRDefault="008C7BCF" w:rsidP="00B369C7">
      <w:pPr>
        <w:jc w:val="both"/>
        <w:rPr>
          <w:rFonts w:ascii="Arial" w:hAnsi="Arial" w:cs="Arial"/>
        </w:rPr>
      </w:pPr>
      <w:r w:rsidRPr="009D3B85">
        <w:rPr>
          <w:rFonts w:ascii="Arial" w:hAnsi="Arial" w:cs="Arial"/>
        </w:rPr>
        <w:t>Economic pressures, rising demand, and the increasing cost of providing safe and decent homes mean we must continually review how we use our resources. For this reason, Value for Money and our commitment to becoming More Commercial go hand in hand. A more commercial approach strengthens our financial resilience by improving income recovery, controlling costs, and ensuring services are sustainably resourced. It also helps us make informed decisions about where investment will have the greatest impact and where services may need to be redesigned to deliver better outcomes.</w:t>
      </w:r>
    </w:p>
    <w:p w14:paraId="7C5670CD" w14:textId="77777777" w:rsidR="008C7BCF" w:rsidRPr="009D3B85" w:rsidRDefault="008C7BCF" w:rsidP="00B369C7">
      <w:pPr>
        <w:jc w:val="both"/>
        <w:rPr>
          <w:rFonts w:ascii="Arial" w:hAnsi="Arial" w:cs="Arial"/>
        </w:rPr>
      </w:pPr>
      <w:r w:rsidRPr="009D3B85">
        <w:rPr>
          <w:rFonts w:ascii="Arial" w:hAnsi="Arial" w:cs="Arial"/>
        </w:rPr>
        <w:t>This approach supports transparent, evidence</w:t>
      </w:r>
      <w:r w:rsidRPr="009D3B85">
        <w:rPr>
          <w:rFonts w:ascii="Cambria Math" w:hAnsi="Cambria Math" w:cs="Cambria Math"/>
        </w:rPr>
        <w:t>‑</w:t>
      </w:r>
      <w:r w:rsidRPr="009D3B85">
        <w:rPr>
          <w:rFonts w:ascii="Arial" w:hAnsi="Arial" w:cs="Arial"/>
        </w:rPr>
        <w:t>based decision</w:t>
      </w:r>
      <w:r w:rsidRPr="009D3B85">
        <w:rPr>
          <w:rFonts w:ascii="Cambria Math" w:hAnsi="Cambria Math" w:cs="Cambria Math"/>
        </w:rPr>
        <w:t>‑</w:t>
      </w:r>
      <w:r w:rsidRPr="009D3B85">
        <w:rPr>
          <w:rFonts w:ascii="Arial" w:hAnsi="Arial" w:cs="Arial"/>
        </w:rPr>
        <w:t>making, informed by benchmarking, performance insight, and a clear understanding of customer priorities. Customers will continue to influence how we define and deliver value, through clearer communication and opportunities to shape what ‘good’ looks like. Colleagues also play a vital role, using their expertise to identify value</w:t>
      </w:r>
      <w:r w:rsidRPr="009D3B85">
        <w:rPr>
          <w:rFonts w:ascii="Cambria Math" w:hAnsi="Cambria Math" w:cs="Cambria Math"/>
        </w:rPr>
        <w:t>‑</w:t>
      </w:r>
      <w:r w:rsidRPr="009D3B85">
        <w:rPr>
          <w:rFonts w:ascii="Arial" w:hAnsi="Arial" w:cs="Arial"/>
        </w:rPr>
        <w:t>adding opportunities and contribute ideas that support simpler, smarter, and more effective services.</w:t>
      </w:r>
    </w:p>
    <w:p w14:paraId="1B326621" w14:textId="77777777" w:rsidR="008C7BCF" w:rsidRPr="009D3B85" w:rsidRDefault="008C7BCF" w:rsidP="00B369C7">
      <w:pPr>
        <w:jc w:val="both"/>
        <w:rPr>
          <w:rFonts w:ascii="Arial" w:hAnsi="Arial" w:cs="Arial"/>
        </w:rPr>
      </w:pPr>
      <w:r w:rsidRPr="009D3B85">
        <w:rPr>
          <w:rFonts w:ascii="Arial" w:hAnsi="Arial" w:cs="Arial"/>
        </w:rPr>
        <w:t>By embedding Value for Money thinking across the organisation, and strengthening it through a more commercial mindset, we will create capacity to reinvest in our social heart activities, protect essential services, and build long</w:t>
      </w:r>
      <w:r w:rsidRPr="009D3B85">
        <w:rPr>
          <w:rFonts w:ascii="Cambria Math" w:hAnsi="Cambria Math" w:cs="Cambria Math"/>
        </w:rPr>
        <w:t>‑</w:t>
      </w:r>
      <w:r w:rsidRPr="009D3B85">
        <w:rPr>
          <w:rFonts w:ascii="Arial" w:hAnsi="Arial" w:cs="Arial"/>
        </w:rPr>
        <w:t>term financial resilience for the communities we serve.</w:t>
      </w:r>
    </w:p>
    <w:p w14:paraId="7784CAFD" w14:textId="77777777" w:rsidR="008C7BCF" w:rsidRDefault="008C7BCF" w:rsidP="00B369C7">
      <w:pPr>
        <w:jc w:val="both"/>
        <w:rPr>
          <w:rFonts w:ascii="Arial" w:hAnsi="Arial" w:cs="Arial"/>
        </w:rPr>
      </w:pPr>
      <w:r w:rsidRPr="009D3B85">
        <w:rPr>
          <w:rFonts w:ascii="Arial" w:hAnsi="Arial" w:cs="Arial"/>
        </w:rPr>
        <w:t xml:space="preserve">As a result, this refreshed strategy has been renamed ‘Commercial Head, Social Heart’. </w:t>
      </w:r>
    </w:p>
    <w:p w14:paraId="45104989" w14:textId="027B294C" w:rsidR="008C7BCF" w:rsidRPr="009D3B85" w:rsidRDefault="00BD1B6D" w:rsidP="00B369C7">
      <w:pPr>
        <w:pStyle w:val="ListParagraph"/>
        <w:numPr>
          <w:ilvl w:val="0"/>
          <w:numId w:val="2"/>
        </w:numPr>
        <w:ind w:left="357" w:hanging="357"/>
        <w:jc w:val="both"/>
        <w:rPr>
          <w:rFonts w:ascii="Arial" w:hAnsi="Arial" w:cs="Arial"/>
          <w:b/>
          <w:iCs/>
        </w:rPr>
      </w:pPr>
      <w:r w:rsidRPr="009D3B85">
        <w:rPr>
          <w:rFonts w:ascii="Arial" w:hAnsi="Arial" w:cs="Arial"/>
          <w:b/>
          <w:iCs/>
        </w:rPr>
        <w:t>Regulation</w:t>
      </w:r>
    </w:p>
    <w:p w14:paraId="6A65C453" w14:textId="77777777" w:rsidR="008C7BCF" w:rsidRPr="009D3B85" w:rsidRDefault="008C7BCF" w:rsidP="00B369C7">
      <w:pPr>
        <w:jc w:val="both"/>
        <w:rPr>
          <w:rFonts w:ascii="Arial" w:hAnsi="Arial" w:cs="Arial"/>
          <w:bCs/>
          <w:iCs/>
        </w:rPr>
      </w:pPr>
      <w:r w:rsidRPr="009D3B85">
        <w:rPr>
          <w:rFonts w:ascii="Arial" w:hAnsi="Arial" w:cs="Arial"/>
          <w:bCs/>
          <w:iCs/>
        </w:rPr>
        <w:t>This VFM strategy complies with the Regulator of Social Housing’s VFM Standard. Registered Providers are expected to demonstrate:</w:t>
      </w:r>
    </w:p>
    <w:p w14:paraId="7AD88172" w14:textId="21609484" w:rsidR="00A75D36" w:rsidRPr="009D3B85" w:rsidRDefault="008C7BCF" w:rsidP="00B369C7">
      <w:pPr>
        <w:pStyle w:val="ListParagraph"/>
        <w:numPr>
          <w:ilvl w:val="0"/>
          <w:numId w:val="33"/>
        </w:numPr>
        <w:ind w:left="357" w:hanging="357"/>
        <w:jc w:val="both"/>
        <w:rPr>
          <w:rFonts w:ascii="Arial" w:hAnsi="Arial" w:cs="Arial"/>
          <w:bCs/>
          <w:iCs/>
        </w:rPr>
      </w:pPr>
      <w:r w:rsidRPr="009D3B85">
        <w:rPr>
          <w:rFonts w:ascii="Arial" w:hAnsi="Arial" w:cs="Arial"/>
          <w:bCs/>
          <w:iCs/>
        </w:rPr>
        <w:t>A robust approach to achieving value for money, including sound decision</w:t>
      </w:r>
      <w:r w:rsidRPr="009D3B85">
        <w:rPr>
          <w:rFonts w:ascii="Cambria Math" w:hAnsi="Cambria Math" w:cs="Cambria Math"/>
          <w:bCs/>
          <w:iCs/>
        </w:rPr>
        <w:t>‑</w:t>
      </w:r>
      <w:r w:rsidRPr="009D3B85">
        <w:rPr>
          <w:rFonts w:ascii="Arial" w:hAnsi="Arial" w:cs="Arial"/>
          <w:bCs/>
          <w:iCs/>
        </w:rPr>
        <w:t>making and rigorous appraisal of options to improve performance.</w:t>
      </w:r>
    </w:p>
    <w:p w14:paraId="75D4EFDE" w14:textId="30FA8F77" w:rsidR="00A75D36" w:rsidRPr="009D3B85" w:rsidRDefault="008C7BCF" w:rsidP="00B369C7">
      <w:pPr>
        <w:pStyle w:val="ListParagraph"/>
        <w:numPr>
          <w:ilvl w:val="0"/>
          <w:numId w:val="33"/>
        </w:numPr>
        <w:jc w:val="both"/>
        <w:rPr>
          <w:rFonts w:ascii="Arial" w:hAnsi="Arial" w:cs="Arial"/>
          <w:bCs/>
          <w:iCs/>
        </w:rPr>
      </w:pPr>
      <w:r w:rsidRPr="009D3B85">
        <w:rPr>
          <w:rFonts w:ascii="Arial" w:hAnsi="Arial" w:cs="Arial"/>
          <w:bCs/>
          <w:iCs/>
        </w:rPr>
        <w:t>Regular and appropriate Board consideration of potential VFM improvements, including assessment of alternative commercial, organisational, and delivery models</w:t>
      </w:r>
    </w:p>
    <w:p w14:paraId="29FF9137" w14:textId="5133670A" w:rsidR="00A75D36" w:rsidRPr="009D3B85" w:rsidRDefault="008C7BCF" w:rsidP="00B369C7">
      <w:pPr>
        <w:pStyle w:val="ListParagraph"/>
        <w:numPr>
          <w:ilvl w:val="0"/>
          <w:numId w:val="33"/>
        </w:numPr>
        <w:jc w:val="both"/>
        <w:rPr>
          <w:rFonts w:ascii="Arial" w:hAnsi="Arial" w:cs="Arial"/>
          <w:bCs/>
          <w:iCs/>
        </w:rPr>
      </w:pPr>
      <w:r w:rsidRPr="009D3B85">
        <w:rPr>
          <w:rFonts w:ascii="Arial" w:hAnsi="Arial" w:cs="Arial"/>
          <w:bCs/>
          <w:iCs/>
        </w:rPr>
        <w:t>Consideration of value for money across the whole business, including investment in non</w:t>
      </w:r>
      <w:r w:rsidRPr="009D3B85">
        <w:rPr>
          <w:rFonts w:ascii="Cambria Math" w:hAnsi="Cambria Math" w:cs="Cambria Math"/>
          <w:bCs/>
          <w:iCs/>
        </w:rPr>
        <w:t>‑</w:t>
      </w:r>
      <w:r w:rsidRPr="009D3B85">
        <w:rPr>
          <w:rFonts w:ascii="Arial" w:hAnsi="Arial" w:cs="Arial"/>
          <w:bCs/>
          <w:iCs/>
        </w:rPr>
        <w:t>social housing activity, with returns assessed against risk.</w:t>
      </w:r>
    </w:p>
    <w:p w14:paraId="021389B7" w14:textId="6E565884" w:rsidR="008C7BCF" w:rsidRPr="009D3B85" w:rsidRDefault="008C7BCF" w:rsidP="00B369C7">
      <w:pPr>
        <w:pStyle w:val="ListParagraph"/>
        <w:numPr>
          <w:ilvl w:val="0"/>
          <w:numId w:val="33"/>
        </w:numPr>
        <w:jc w:val="both"/>
        <w:rPr>
          <w:rFonts w:ascii="Arial" w:hAnsi="Arial" w:cs="Arial"/>
          <w:bCs/>
          <w:iCs/>
        </w:rPr>
      </w:pPr>
      <w:r w:rsidRPr="009D3B85">
        <w:rPr>
          <w:rFonts w:ascii="Arial" w:hAnsi="Arial" w:cs="Arial"/>
          <w:bCs/>
          <w:iCs/>
        </w:rPr>
        <w:t>Appropriate performance targets to measure delivery of value for money, supported by regular monitoring and reporting.</w:t>
      </w:r>
    </w:p>
    <w:p w14:paraId="67F60F10" w14:textId="77777777" w:rsidR="002F5A48" w:rsidRPr="009D3B85" w:rsidRDefault="002F5A48" w:rsidP="00B369C7">
      <w:pPr>
        <w:pStyle w:val="ListParagraph"/>
        <w:ind w:left="360"/>
        <w:jc w:val="both"/>
        <w:rPr>
          <w:rFonts w:ascii="Arial" w:hAnsi="Arial" w:cs="Arial"/>
          <w:bCs/>
          <w:iCs/>
        </w:rPr>
      </w:pPr>
    </w:p>
    <w:p w14:paraId="2DB5FDAF" w14:textId="77777777" w:rsidR="002F5A48" w:rsidRDefault="002F5A48" w:rsidP="00B369C7">
      <w:pPr>
        <w:pStyle w:val="ListParagraph"/>
        <w:ind w:left="360"/>
        <w:jc w:val="both"/>
        <w:rPr>
          <w:rFonts w:ascii="Arial" w:hAnsi="Arial" w:cs="Arial"/>
          <w:bCs/>
          <w:iCs/>
        </w:rPr>
      </w:pPr>
    </w:p>
    <w:p w14:paraId="1056B48D" w14:textId="77777777" w:rsidR="0025168E" w:rsidRPr="009D3B85" w:rsidRDefault="0025168E" w:rsidP="00B369C7">
      <w:pPr>
        <w:pStyle w:val="ListParagraph"/>
        <w:ind w:left="360"/>
        <w:jc w:val="both"/>
        <w:rPr>
          <w:rFonts w:ascii="Arial" w:hAnsi="Arial" w:cs="Arial"/>
          <w:bCs/>
          <w:iCs/>
        </w:rPr>
      </w:pPr>
    </w:p>
    <w:p w14:paraId="7C3962BA" w14:textId="77777777" w:rsidR="00F65821" w:rsidRPr="009D3B85" w:rsidRDefault="00F65821" w:rsidP="00B369C7">
      <w:pPr>
        <w:pStyle w:val="ListParagraph"/>
        <w:numPr>
          <w:ilvl w:val="0"/>
          <w:numId w:val="2"/>
        </w:numPr>
        <w:jc w:val="both"/>
        <w:rPr>
          <w:rFonts w:ascii="Arial" w:hAnsi="Arial" w:cs="Arial"/>
          <w:b/>
          <w:iCs/>
        </w:rPr>
      </w:pPr>
      <w:r w:rsidRPr="009D3B85">
        <w:rPr>
          <w:rFonts w:ascii="Arial" w:hAnsi="Arial" w:cs="Arial"/>
          <w:b/>
          <w:iCs/>
        </w:rPr>
        <w:lastRenderedPageBreak/>
        <w:t>Objectives of the VFM strategy</w:t>
      </w:r>
    </w:p>
    <w:p w14:paraId="79090C54" w14:textId="77777777" w:rsidR="00753645" w:rsidRPr="00B369C7" w:rsidRDefault="00753645" w:rsidP="00B369C7">
      <w:pPr>
        <w:jc w:val="both"/>
        <w:rPr>
          <w:rFonts w:ascii="Arial" w:hAnsi="Arial" w:cs="Arial"/>
        </w:rPr>
      </w:pPr>
      <w:r w:rsidRPr="00B369C7">
        <w:rPr>
          <w:rFonts w:ascii="Arial" w:hAnsi="Arial" w:cs="Arial"/>
        </w:rPr>
        <w:t>The objectives of this Value for Money (VFM) strategy are to ensure that we:</w:t>
      </w:r>
    </w:p>
    <w:p w14:paraId="6B2ADCC3" w14:textId="77777777" w:rsidR="00753645" w:rsidRPr="00B369C7" w:rsidRDefault="00753645" w:rsidP="00B369C7">
      <w:pPr>
        <w:numPr>
          <w:ilvl w:val="0"/>
          <w:numId w:val="35"/>
        </w:numPr>
        <w:spacing w:line="278" w:lineRule="auto"/>
        <w:jc w:val="both"/>
        <w:rPr>
          <w:rFonts w:ascii="Arial" w:hAnsi="Arial" w:cs="Arial"/>
        </w:rPr>
      </w:pPr>
      <w:r w:rsidRPr="00B369C7">
        <w:rPr>
          <w:rFonts w:ascii="Arial" w:hAnsi="Arial" w:cs="Arial"/>
        </w:rPr>
        <w:t>Run the organisation efficiently and effectively by applying best</w:t>
      </w:r>
      <w:r w:rsidRPr="00B369C7">
        <w:rPr>
          <w:rFonts w:ascii="Arial" w:hAnsi="Arial" w:cs="Arial"/>
        </w:rPr>
        <w:noBreakHyphen/>
        <w:t>practice procurement and transformation approaches in our everyday work.</w:t>
      </w:r>
    </w:p>
    <w:p w14:paraId="6664148E" w14:textId="77777777" w:rsidR="00753645" w:rsidRPr="00B369C7" w:rsidRDefault="00753645" w:rsidP="00B369C7">
      <w:pPr>
        <w:numPr>
          <w:ilvl w:val="0"/>
          <w:numId w:val="35"/>
        </w:numPr>
        <w:spacing w:line="278" w:lineRule="auto"/>
        <w:jc w:val="both"/>
        <w:rPr>
          <w:rFonts w:ascii="Arial" w:hAnsi="Arial" w:cs="Arial"/>
        </w:rPr>
      </w:pPr>
      <w:r w:rsidRPr="00B369C7">
        <w:rPr>
          <w:rFonts w:ascii="Arial" w:hAnsi="Arial" w:cs="Arial"/>
        </w:rPr>
        <w:t>Comply with the Regulator of Social Housing’s Value for Money Standard, support the achievement of future VFM targets, and deliver our own VFM performance measures.</w:t>
      </w:r>
    </w:p>
    <w:p w14:paraId="28758532" w14:textId="77777777" w:rsidR="00753645" w:rsidRPr="00B369C7" w:rsidRDefault="00753645" w:rsidP="00B369C7">
      <w:pPr>
        <w:numPr>
          <w:ilvl w:val="0"/>
          <w:numId w:val="35"/>
        </w:numPr>
        <w:spacing w:line="278" w:lineRule="auto"/>
        <w:jc w:val="both"/>
        <w:rPr>
          <w:rFonts w:ascii="Arial" w:hAnsi="Arial" w:cs="Arial"/>
        </w:rPr>
      </w:pPr>
      <w:r w:rsidRPr="00B369C7">
        <w:rPr>
          <w:rFonts w:ascii="Arial" w:hAnsi="Arial" w:cs="Arial"/>
        </w:rPr>
        <w:t>Continually strengthen customer influence on VFM by placing customers at the centre of decision</w:t>
      </w:r>
      <w:r w:rsidRPr="00B369C7">
        <w:rPr>
          <w:rFonts w:ascii="Arial" w:hAnsi="Arial" w:cs="Arial"/>
        </w:rPr>
        <w:noBreakHyphen/>
        <w:t>making and supporting effective scrutiny.</w:t>
      </w:r>
    </w:p>
    <w:p w14:paraId="3F83A170" w14:textId="77777777" w:rsidR="00753645" w:rsidRPr="00B369C7" w:rsidRDefault="00753645" w:rsidP="00B369C7">
      <w:pPr>
        <w:numPr>
          <w:ilvl w:val="0"/>
          <w:numId w:val="35"/>
        </w:numPr>
        <w:spacing w:line="278" w:lineRule="auto"/>
        <w:jc w:val="both"/>
        <w:rPr>
          <w:rFonts w:ascii="Arial" w:hAnsi="Arial" w:cs="Arial"/>
        </w:rPr>
      </w:pPr>
      <w:r w:rsidRPr="00B369C7">
        <w:rPr>
          <w:rFonts w:ascii="Arial" w:hAnsi="Arial" w:cs="Arial"/>
        </w:rPr>
        <w:t>Continually improve colleague involvement in VFM by giving colleagues a strong voice and supporting innovation and value</w:t>
      </w:r>
      <w:r w:rsidRPr="00B369C7">
        <w:rPr>
          <w:rFonts w:ascii="Arial" w:hAnsi="Arial" w:cs="Arial"/>
        </w:rPr>
        <w:noBreakHyphen/>
        <w:t>focused services.</w:t>
      </w:r>
    </w:p>
    <w:p w14:paraId="37D50A19" w14:textId="77777777" w:rsidR="00753645" w:rsidRPr="00B369C7" w:rsidRDefault="00753645" w:rsidP="00B369C7">
      <w:pPr>
        <w:numPr>
          <w:ilvl w:val="0"/>
          <w:numId w:val="35"/>
        </w:numPr>
        <w:spacing w:line="278" w:lineRule="auto"/>
        <w:jc w:val="both"/>
        <w:rPr>
          <w:rFonts w:ascii="Arial" w:hAnsi="Arial" w:cs="Arial"/>
        </w:rPr>
      </w:pPr>
      <w:r w:rsidRPr="00B369C7">
        <w:rPr>
          <w:rFonts w:ascii="Arial" w:hAnsi="Arial" w:cs="Arial"/>
        </w:rPr>
        <w:t>Create social value through our operations and supply chains that reflects what matters most to customers and communities.</w:t>
      </w:r>
    </w:p>
    <w:p w14:paraId="02F134B5" w14:textId="77777777" w:rsidR="00753645" w:rsidRPr="00B369C7" w:rsidRDefault="00753645" w:rsidP="00B369C7">
      <w:pPr>
        <w:numPr>
          <w:ilvl w:val="0"/>
          <w:numId w:val="35"/>
        </w:numPr>
        <w:spacing w:line="278" w:lineRule="auto"/>
        <w:jc w:val="both"/>
        <w:rPr>
          <w:rFonts w:ascii="Arial" w:hAnsi="Arial" w:cs="Arial"/>
        </w:rPr>
      </w:pPr>
      <w:r w:rsidRPr="00B369C7">
        <w:rPr>
          <w:rFonts w:ascii="Arial" w:hAnsi="Arial" w:cs="Arial"/>
        </w:rPr>
        <w:t>Adopt a more commercial mindset across the organisation by identifying opportunities to reduce costs, increase income (including from external funding sources), strengthen financial resilience, and ensure services are commercially viable, while remaining true to our values and social purpose.</w:t>
      </w:r>
    </w:p>
    <w:p w14:paraId="7A7FAC23" w14:textId="00499206" w:rsidR="00753645" w:rsidRPr="00B369C7" w:rsidRDefault="00753645" w:rsidP="00B369C7">
      <w:pPr>
        <w:jc w:val="both"/>
        <w:rPr>
          <w:rFonts w:ascii="Arial" w:hAnsi="Arial" w:cs="Arial"/>
        </w:rPr>
      </w:pPr>
      <w:r w:rsidRPr="00B369C7">
        <w:rPr>
          <w:rFonts w:ascii="Arial" w:hAnsi="Arial" w:cs="Arial"/>
        </w:rPr>
        <w:t xml:space="preserve">The organisation has made significant progress on VFM during the previous strategy period. These achievements have been </w:t>
      </w:r>
      <w:r w:rsidR="001A7369">
        <w:rPr>
          <w:rFonts w:ascii="Arial" w:hAnsi="Arial" w:cs="Arial"/>
        </w:rPr>
        <w:t>summarised</w:t>
      </w:r>
      <w:r w:rsidRPr="00B369C7">
        <w:rPr>
          <w:rFonts w:ascii="Arial" w:hAnsi="Arial" w:cs="Arial"/>
        </w:rPr>
        <w:t xml:space="preserve"> </w:t>
      </w:r>
      <w:r w:rsidR="001A7369">
        <w:rPr>
          <w:rFonts w:ascii="Arial" w:hAnsi="Arial" w:cs="Arial"/>
        </w:rPr>
        <w:t>in Appendix A.</w:t>
      </w:r>
    </w:p>
    <w:p w14:paraId="0EFBB740" w14:textId="77777777" w:rsidR="00753645" w:rsidRPr="00B369C7" w:rsidRDefault="00753645" w:rsidP="00B369C7">
      <w:pPr>
        <w:jc w:val="both"/>
        <w:rPr>
          <w:rFonts w:ascii="Arial" w:hAnsi="Arial" w:cs="Arial"/>
        </w:rPr>
      </w:pPr>
      <w:r w:rsidRPr="00B369C7">
        <w:rPr>
          <w:rFonts w:ascii="Arial" w:hAnsi="Arial" w:cs="Arial"/>
        </w:rPr>
        <w:t>Customers and colleagues were involved in refreshing this strategy to ensure a collaborative and informed approach. Customer consultation focused on improving customer influence, particularly through clearer communication and a wider range of feedback methods, while strengthening involvement in VFM decision</w:t>
      </w:r>
      <w:r w:rsidRPr="00B369C7">
        <w:rPr>
          <w:rFonts w:ascii="Arial" w:hAnsi="Arial" w:cs="Arial"/>
        </w:rPr>
        <w:noBreakHyphen/>
        <w:t>making.</w:t>
      </w:r>
    </w:p>
    <w:p w14:paraId="69B1D875" w14:textId="77777777" w:rsidR="00753645" w:rsidRPr="00B369C7" w:rsidRDefault="00753645" w:rsidP="00B369C7">
      <w:pPr>
        <w:jc w:val="both"/>
        <w:rPr>
          <w:rFonts w:ascii="Arial" w:hAnsi="Arial" w:cs="Arial"/>
        </w:rPr>
      </w:pPr>
      <w:r w:rsidRPr="00B369C7">
        <w:rPr>
          <w:rFonts w:ascii="Arial" w:hAnsi="Arial" w:cs="Arial"/>
        </w:rPr>
        <w:t>Colleague consultation focused on what worked well and what could be improved in the previous strategy, generating ideas to enhance VFM and embed a more commercial mindset within the organisational culture.</w:t>
      </w:r>
    </w:p>
    <w:p w14:paraId="66C9E1E9" w14:textId="77777777" w:rsidR="00753645" w:rsidRPr="00B369C7" w:rsidRDefault="00753645" w:rsidP="00B369C7">
      <w:pPr>
        <w:jc w:val="both"/>
        <w:rPr>
          <w:rFonts w:ascii="Arial" w:hAnsi="Arial" w:cs="Arial"/>
        </w:rPr>
      </w:pPr>
      <w:r w:rsidRPr="00B369C7">
        <w:rPr>
          <w:rFonts w:ascii="Arial" w:hAnsi="Arial" w:cs="Arial"/>
        </w:rPr>
        <w:t>The Tenant Scrutiny Group provided feedback during the development of the strategy and action plan, advising on future customer engagement and priority areas for service improvement.</w:t>
      </w:r>
    </w:p>
    <w:p w14:paraId="69EC8694" w14:textId="77777777" w:rsidR="00753645" w:rsidRPr="00B369C7" w:rsidRDefault="00753645" w:rsidP="00B369C7">
      <w:pPr>
        <w:jc w:val="both"/>
        <w:rPr>
          <w:rFonts w:ascii="Arial" w:hAnsi="Arial" w:cs="Arial"/>
        </w:rPr>
      </w:pPr>
      <w:r w:rsidRPr="00B369C7">
        <w:rPr>
          <w:rFonts w:ascii="Arial" w:hAnsi="Arial" w:cs="Arial"/>
        </w:rPr>
        <w:t>Our VFM strategy focuses on strengthening our approach to commercialisation by improving customer services, delivering measurable financial benefits, maximising the impact of social investment, and investing to achieve long</w:t>
      </w:r>
      <w:r w:rsidRPr="00B369C7">
        <w:rPr>
          <w:rFonts w:ascii="Arial" w:hAnsi="Arial" w:cs="Arial"/>
        </w:rPr>
        <w:noBreakHyphen/>
        <w:t>term benefits.</w:t>
      </w:r>
    </w:p>
    <w:p w14:paraId="6E56E3CC" w14:textId="77777777" w:rsidR="00753645" w:rsidRPr="00B369C7" w:rsidRDefault="00753645" w:rsidP="00B369C7">
      <w:pPr>
        <w:jc w:val="both"/>
        <w:rPr>
          <w:rFonts w:ascii="Arial" w:hAnsi="Arial" w:cs="Arial"/>
          <w:b/>
          <w:bCs/>
        </w:rPr>
      </w:pPr>
      <w:r w:rsidRPr="00B369C7">
        <w:rPr>
          <w:rFonts w:ascii="Arial" w:hAnsi="Arial" w:cs="Arial"/>
          <w:b/>
          <w:bCs/>
        </w:rPr>
        <w:t>Benchmarking</w:t>
      </w:r>
    </w:p>
    <w:p w14:paraId="166DF0D0" w14:textId="0CD602C2" w:rsidR="00753645" w:rsidRPr="00B369C7" w:rsidRDefault="00753645" w:rsidP="00B369C7">
      <w:pPr>
        <w:jc w:val="both"/>
        <w:rPr>
          <w:rFonts w:ascii="Arial" w:hAnsi="Arial" w:cs="Arial"/>
        </w:rPr>
      </w:pPr>
      <w:r w:rsidRPr="00B369C7">
        <w:rPr>
          <w:rFonts w:ascii="Arial" w:hAnsi="Arial" w:cs="Arial"/>
        </w:rPr>
        <w:t>This strategy places greater emphasis on benchmarking our VFM performance against peer organisations and the wider sector. We will undertake more detailed benchmarking than is included in the annual VFM statement and aim to achieve at least median</w:t>
      </w:r>
      <w:r w:rsidRPr="00B369C7">
        <w:rPr>
          <w:rFonts w:ascii="Arial" w:hAnsi="Arial" w:cs="Arial"/>
        </w:rPr>
        <w:noBreakHyphen/>
        <w:t>quartile performance compared to sector peers.</w:t>
      </w:r>
      <w:r w:rsidR="0025168E">
        <w:rPr>
          <w:rFonts w:ascii="Arial" w:hAnsi="Arial" w:cs="Arial"/>
        </w:rPr>
        <w:t xml:space="preserve"> </w:t>
      </w:r>
    </w:p>
    <w:p w14:paraId="12BC1E07" w14:textId="77777777" w:rsidR="00753645" w:rsidRPr="00B369C7" w:rsidRDefault="00753645" w:rsidP="00B369C7">
      <w:pPr>
        <w:jc w:val="both"/>
        <w:rPr>
          <w:rFonts w:ascii="Arial" w:hAnsi="Arial" w:cs="Arial"/>
          <w:b/>
          <w:bCs/>
        </w:rPr>
      </w:pPr>
      <w:r w:rsidRPr="00B369C7">
        <w:rPr>
          <w:rFonts w:ascii="Arial" w:hAnsi="Arial" w:cs="Arial"/>
          <w:b/>
          <w:bCs/>
        </w:rPr>
        <w:t>Service charges</w:t>
      </w:r>
    </w:p>
    <w:p w14:paraId="55D8AA70" w14:textId="77777777" w:rsidR="00753645" w:rsidRPr="00B369C7" w:rsidRDefault="00753645" w:rsidP="00B369C7">
      <w:pPr>
        <w:jc w:val="both"/>
        <w:rPr>
          <w:rFonts w:ascii="Arial" w:hAnsi="Arial" w:cs="Arial"/>
        </w:rPr>
      </w:pPr>
      <w:r w:rsidRPr="00B369C7">
        <w:rPr>
          <w:rFonts w:ascii="Arial" w:hAnsi="Arial" w:cs="Arial"/>
        </w:rPr>
        <w:t xml:space="preserve">The Service Charges project is a key contributor to VFM. Clear and transparent communication with customers about the value and cost of services is a priority, particularly where services are charged separately. The project ensures charges are accurate and that </w:t>
      </w:r>
      <w:r w:rsidRPr="00B369C7">
        <w:rPr>
          <w:rFonts w:ascii="Arial" w:hAnsi="Arial" w:cs="Arial"/>
        </w:rPr>
        <w:lastRenderedPageBreak/>
        <w:t>we clearly evidence and communicate VFM through service delivery, procurement, and contractor management.</w:t>
      </w:r>
    </w:p>
    <w:p w14:paraId="740F77DB" w14:textId="77777777" w:rsidR="00753645" w:rsidRPr="00B369C7" w:rsidRDefault="00753645" w:rsidP="00B369C7">
      <w:pPr>
        <w:jc w:val="both"/>
        <w:rPr>
          <w:rFonts w:ascii="Arial" w:hAnsi="Arial" w:cs="Arial"/>
          <w:b/>
          <w:bCs/>
        </w:rPr>
      </w:pPr>
      <w:r w:rsidRPr="00B369C7">
        <w:rPr>
          <w:rFonts w:ascii="Arial" w:hAnsi="Arial" w:cs="Arial"/>
          <w:b/>
          <w:bCs/>
        </w:rPr>
        <w:t>Use of the SHAPE model</w:t>
      </w:r>
    </w:p>
    <w:p w14:paraId="1075FF5A" w14:textId="77777777" w:rsidR="00753645" w:rsidRPr="00B369C7" w:rsidRDefault="00753645" w:rsidP="00B369C7">
      <w:pPr>
        <w:jc w:val="both"/>
        <w:rPr>
          <w:rFonts w:ascii="Arial" w:hAnsi="Arial" w:cs="Arial"/>
        </w:rPr>
      </w:pPr>
      <w:r w:rsidRPr="00B369C7">
        <w:rPr>
          <w:rFonts w:ascii="Arial" w:hAnsi="Arial" w:cs="Arial"/>
        </w:rPr>
        <w:t>VFM principles support strategic asset management through the SHAPE model. This assesses the 30</w:t>
      </w:r>
      <w:r w:rsidRPr="00B369C7">
        <w:rPr>
          <w:rFonts w:ascii="Arial" w:hAnsi="Arial" w:cs="Arial"/>
        </w:rPr>
        <w:noBreakHyphen/>
        <w:t>year net present value of properties to inform investment or disposal decisions based on whole</w:t>
      </w:r>
      <w:r w:rsidRPr="00B369C7">
        <w:rPr>
          <w:rFonts w:ascii="Arial" w:hAnsi="Arial" w:cs="Arial"/>
        </w:rPr>
        <w:noBreakHyphen/>
        <w:t>life costs, balancing revenue and capital investment and identifying opportunities for improved VFM.</w:t>
      </w:r>
    </w:p>
    <w:p w14:paraId="19D1DDAA" w14:textId="77777777" w:rsidR="00753645" w:rsidRPr="00B369C7" w:rsidRDefault="00753645" w:rsidP="00B369C7">
      <w:pPr>
        <w:jc w:val="both"/>
        <w:rPr>
          <w:rFonts w:ascii="Arial" w:hAnsi="Arial" w:cs="Arial"/>
          <w:b/>
          <w:bCs/>
        </w:rPr>
      </w:pPr>
      <w:r w:rsidRPr="00B369C7">
        <w:rPr>
          <w:rFonts w:ascii="Arial" w:hAnsi="Arial" w:cs="Arial"/>
          <w:b/>
          <w:bCs/>
        </w:rPr>
        <w:t>Transformation</w:t>
      </w:r>
    </w:p>
    <w:p w14:paraId="23317E8D" w14:textId="77777777" w:rsidR="00753645" w:rsidRPr="00B369C7" w:rsidRDefault="00753645" w:rsidP="00B369C7">
      <w:pPr>
        <w:jc w:val="both"/>
        <w:rPr>
          <w:rFonts w:ascii="Arial" w:hAnsi="Arial" w:cs="Arial"/>
        </w:rPr>
      </w:pPr>
      <w:r w:rsidRPr="00B369C7">
        <w:rPr>
          <w:rFonts w:ascii="Arial" w:hAnsi="Arial" w:cs="Arial"/>
        </w:rPr>
        <w:t>The Transformation programme is a key enabler of VFM. The team will support the implementation of commercial ideas across the organisation and develop clear methods for measuring and evidencing their impact.</w:t>
      </w:r>
    </w:p>
    <w:p w14:paraId="3CD0BF1D" w14:textId="77777777" w:rsidR="00753645" w:rsidRPr="00B369C7" w:rsidRDefault="00753645" w:rsidP="00B369C7">
      <w:pPr>
        <w:jc w:val="both"/>
        <w:rPr>
          <w:rFonts w:ascii="Arial" w:hAnsi="Arial" w:cs="Arial"/>
          <w:b/>
          <w:bCs/>
        </w:rPr>
      </w:pPr>
      <w:r w:rsidRPr="00B369C7">
        <w:rPr>
          <w:rFonts w:ascii="Arial" w:hAnsi="Arial" w:cs="Arial"/>
          <w:b/>
          <w:bCs/>
        </w:rPr>
        <w:t>More Commercial Ideas</w:t>
      </w:r>
    </w:p>
    <w:p w14:paraId="2F4097D9" w14:textId="1864D3C0" w:rsidR="00753645" w:rsidRPr="00B369C7" w:rsidRDefault="00753645" w:rsidP="00B369C7">
      <w:pPr>
        <w:jc w:val="both"/>
        <w:rPr>
          <w:rFonts w:ascii="Arial" w:hAnsi="Arial" w:cs="Arial"/>
        </w:rPr>
      </w:pPr>
      <w:r w:rsidRPr="00B369C7">
        <w:rPr>
          <w:rFonts w:ascii="Arial" w:hAnsi="Arial" w:cs="Arial"/>
        </w:rPr>
        <w:t>A central element of this refreshed strategy is generating and delivering new ideas from colleagues and, over time, customers. Working collaboratively through the Business Influencers Group (BIG) and the VFM Steering Group, these ideas</w:t>
      </w:r>
      <w:r w:rsidR="00195104">
        <w:rPr>
          <w:rFonts w:ascii="Arial" w:hAnsi="Arial" w:cs="Arial"/>
        </w:rPr>
        <w:t xml:space="preserve">, submitted via the </w:t>
      </w:r>
      <w:r w:rsidR="00BF4CF4">
        <w:rPr>
          <w:rFonts w:ascii="Arial" w:hAnsi="Arial" w:cs="Arial"/>
        </w:rPr>
        <w:t>‘Ideas Box’</w:t>
      </w:r>
      <w:r w:rsidRPr="00B369C7">
        <w:rPr>
          <w:rFonts w:ascii="Arial" w:hAnsi="Arial" w:cs="Arial"/>
        </w:rPr>
        <w:t xml:space="preserve"> will focus on improving service quality and effectiveness while generating resources to support WCHG’s social heart.</w:t>
      </w:r>
    </w:p>
    <w:p w14:paraId="27247CF3" w14:textId="77777777" w:rsidR="00F65821" w:rsidRPr="009D3B85" w:rsidRDefault="00F65821" w:rsidP="00B369C7">
      <w:pPr>
        <w:pStyle w:val="ListParagraph"/>
        <w:ind w:left="360"/>
        <w:jc w:val="both"/>
        <w:rPr>
          <w:rFonts w:ascii="Arial" w:hAnsi="Arial" w:cs="Arial"/>
          <w:b/>
          <w:iCs/>
        </w:rPr>
      </w:pPr>
    </w:p>
    <w:p w14:paraId="7C13029D" w14:textId="7E3E5935" w:rsidR="00C57AF9" w:rsidRPr="009D3B85" w:rsidRDefault="00C57AF9" w:rsidP="00B369C7">
      <w:pPr>
        <w:pStyle w:val="ListParagraph"/>
        <w:numPr>
          <w:ilvl w:val="0"/>
          <w:numId w:val="2"/>
        </w:numPr>
        <w:autoSpaceDE w:val="0"/>
        <w:autoSpaceDN w:val="0"/>
        <w:adjustRightInd w:val="0"/>
        <w:jc w:val="both"/>
        <w:rPr>
          <w:rFonts w:ascii="Arial" w:hAnsi="Arial" w:cs="Arial"/>
          <w:b/>
        </w:rPr>
      </w:pPr>
      <w:r w:rsidRPr="009D3B85">
        <w:rPr>
          <w:rFonts w:ascii="Arial" w:hAnsi="Arial" w:cs="Arial"/>
          <w:b/>
        </w:rPr>
        <w:t xml:space="preserve">Governance </w:t>
      </w:r>
      <w:r w:rsidR="009543FC" w:rsidRPr="009D3B85">
        <w:rPr>
          <w:rFonts w:ascii="Arial" w:hAnsi="Arial" w:cs="Arial"/>
          <w:b/>
        </w:rPr>
        <w:t>and Delivery</w:t>
      </w:r>
    </w:p>
    <w:p w14:paraId="1219F32D" w14:textId="77777777" w:rsidR="00D36A3E" w:rsidRPr="009D3B85" w:rsidRDefault="00D36A3E" w:rsidP="00B369C7">
      <w:pPr>
        <w:jc w:val="both"/>
        <w:rPr>
          <w:rFonts w:ascii="Arial" w:hAnsi="Arial" w:cs="Arial"/>
          <w:b/>
        </w:rPr>
      </w:pPr>
      <w:r w:rsidRPr="009D3B85">
        <w:rPr>
          <w:rFonts w:ascii="Arial" w:hAnsi="Arial" w:cs="Arial"/>
          <w:b/>
        </w:rPr>
        <w:t>4.1 Board</w:t>
      </w:r>
    </w:p>
    <w:p w14:paraId="0892D141" w14:textId="77777777" w:rsidR="00D36A3E" w:rsidRPr="009D3B85" w:rsidRDefault="00D36A3E" w:rsidP="00B369C7">
      <w:pPr>
        <w:jc w:val="both"/>
        <w:rPr>
          <w:rFonts w:ascii="Arial" w:hAnsi="Arial" w:cs="Arial"/>
          <w:bCs/>
        </w:rPr>
      </w:pPr>
      <w:r w:rsidRPr="009D3B85">
        <w:rPr>
          <w:rFonts w:ascii="Arial" w:hAnsi="Arial" w:cs="Arial"/>
          <w:bCs/>
        </w:rPr>
        <w:t>The Board is responsible for approving the VFM Strategy, overseeing value delivered, scrutinising proposals, and approving budgets and business plans to ensure VFM outcomes are achieved.</w:t>
      </w:r>
    </w:p>
    <w:p w14:paraId="03725E2B" w14:textId="77777777" w:rsidR="00D36A3E" w:rsidRPr="009D3B85" w:rsidRDefault="00D36A3E" w:rsidP="00B369C7">
      <w:pPr>
        <w:jc w:val="both"/>
        <w:rPr>
          <w:rFonts w:ascii="Arial" w:hAnsi="Arial" w:cs="Arial"/>
          <w:b/>
        </w:rPr>
      </w:pPr>
      <w:r w:rsidRPr="009D3B85">
        <w:rPr>
          <w:rFonts w:ascii="Arial" w:hAnsi="Arial" w:cs="Arial"/>
          <w:b/>
        </w:rPr>
        <w:t>4.2 Group Leadership Team / Senior Leadership Team</w:t>
      </w:r>
    </w:p>
    <w:p w14:paraId="559349E6" w14:textId="77777777" w:rsidR="00D36A3E" w:rsidRPr="009D3B85" w:rsidRDefault="00D36A3E" w:rsidP="00B369C7">
      <w:pPr>
        <w:jc w:val="both"/>
        <w:rPr>
          <w:rFonts w:ascii="Arial" w:hAnsi="Arial" w:cs="Arial"/>
          <w:bCs/>
        </w:rPr>
      </w:pPr>
      <w:r w:rsidRPr="009D3B85">
        <w:rPr>
          <w:rFonts w:ascii="Arial" w:hAnsi="Arial" w:cs="Arial"/>
          <w:bCs/>
        </w:rPr>
        <w:t>The GLT and SLT are responsible for delivering the VFM strategy, embedding VFM into decision</w:t>
      </w:r>
      <w:r w:rsidRPr="009D3B85">
        <w:rPr>
          <w:rFonts w:ascii="Cambria Math" w:hAnsi="Cambria Math" w:cs="Cambria Math"/>
          <w:bCs/>
        </w:rPr>
        <w:t>‑</w:t>
      </w:r>
      <w:r w:rsidRPr="009D3B85">
        <w:rPr>
          <w:rFonts w:ascii="Arial" w:hAnsi="Arial" w:cs="Arial"/>
          <w:bCs/>
        </w:rPr>
        <w:t>making, overseeing budgets, and monitoring performance through the Group Performance Pack.</w:t>
      </w:r>
    </w:p>
    <w:p w14:paraId="0E86D1D4" w14:textId="77777777" w:rsidR="00D36A3E" w:rsidRPr="009D3B85" w:rsidRDefault="00D36A3E" w:rsidP="00B369C7">
      <w:pPr>
        <w:jc w:val="both"/>
        <w:rPr>
          <w:rFonts w:ascii="Arial" w:hAnsi="Arial" w:cs="Arial"/>
          <w:b/>
        </w:rPr>
      </w:pPr>
      <w:r w:rsidRPr="009D3B85">
        <w:rPr>
          <w:rFonts w:ascii="Arial" w:hAnsi="Arial" w:cs="Arial"/>
          <w:b/>
        </w:rPr>
        <w:t>4.3 Value for Money Steering Group</w:t>
      </w:r>
    </w:p>
    <w:p w14:paraId="652C5A40" w14:textId="76B19F46" w:rsidR="00D36A3E" w:rsidRPr="009D3B85" w:rsidRDefault="00D36A3E" w:rsidP="00B369C7">
      <w:pPr>
        <w:jc w:val="both"/>
        <w:rPr>
          <w:rFonts w:ascii="Arial" w:hAnsi="Arial" w:cs="Arial"/>
          <w:bCs/>
        </w:rPr>
      </w:pPr>
      <w:r w:rsidRPr="009D3B85">
        <w:rPr>
          <w:rFonts w:ascii="Arial" w:hAnsi="Arial" w:cs="Arial"/>
          <w:bCs/>
        </w:rPr>
        <w:t xml:space="preserve">The VFM Steering Group supports consistent understanding of VFM, reviews service charges and impact </w:t>
      </w:r>
      <w:proofErr w:type="gramStart"/>
      <w:r w:rsidRPr="009D3B85">
        <w:rPr>
          <w:rFonts w:ascii="Arial" w:hAnsi="Arial" w:cs="Arial"/>
          <w:bCs/>
        </w:rPr>
        <w:t>measurement</w:t>
      </w:r>
      <w:r w:rsidR="00BF4CF4">
        <w:rPr>
          <w:rFonts w:ascii="Arial" w:hAnsi="Arial" w:cs="Arial"/>
          <w:bCs/>
        </w:rPr>
        <w:t xml:space="preserve">, </w:t>
      </w:r>
      <w:r w:rsidRPr="009D3B85">
        <w:rPr>
          <w:rFonts w:ascii="Arial" w:hAnsi="Arial" w:cs="Arial"/>
          <w:bCs/>
        </w:rPr>
        <w:t>and</w:t>
      </w:r>
      <w:proofErr w:type="gramEnd"/>
      <w:r w:rsidRPr="009D3B85">
        <w:rPr>
          <w:rFonts w:ascii="Arial" w:hAnsi="Arial" w:cs="Arial"/>
          <w:bCs/>
        </w:rPr>
        <w:t xml:space="preserve"> enables assessment and delivery of commercial ideas.</w:t>
      </w:r>
    </w:p>
    <w:p w14:paraId="718F37D7" w14:textId="77777777" w:rsidR="00D36A3E" w:rsidRPr="009D3B85" w:rsidRDefault="00D36A3E" w:rsidP="00B369C7">
      <w:pPr>
        <w:jc w:val="both"/>
        <w:rPr>
          <w:rFonts w:ascii="Arial" w:hAnsi="Arial" w:cs="Arial"/>
          <w:b/>
        </w:rPr>
      </w:pPr>
      <w:r w:rsidRPr="009D3B85">
        <w:rPr>
          <w:rFonts w:ascii="Arial" w:hAnsi="Arial" w:cs="Arial"/>
          <w:b/>
        </w:rPr>
        <w:t>4.4 Business Influencers Group</w:t>
      </w:r>
    </w:p>
    <w:p w14:paraId="1E5E3735" w14:textId="5F7C9A95" w:rsidR="00D36A3E" w:rsidRPr="009D3B85" w:rsidRDefault="00D36A3E" w:rsidP="00B369C7">
      <w:pPr>
        <w:jc w:val="both"/>
        <w:rPr>
          <w:rFonts w:ascii="Arial" w:hAnsi="Arial" w:cs="Arial"/>
          <w:bCs/>
        </w:rPr>
      </w:pPr>
      <w:r w:rsidRPr="009D3B85">
        <w:rPr>
          <w:rFonts w:ascii="Arial" w:hAnsi="Arial" w:cs="Arial"/>
          <w:bCs/>
        </w:rPr>
        <w:t>The Business Influencers Group</w:t>
      </w:r>
      <w:r w:rsidR="00BF4CF4">
        <w:rPr>
          <w:rFonts w:ascii="Arial" w:hAnsi="Arial" w:cs="Arial"/>
          <w:bCs/>
        </w:rPr>
        <w:t xml:space="preserve"> (BIG)</w:t>
      </w:r>
      <w:r w:rsidRPr="009D3B85">
        <w:rPr>
          <w:rFonts w:ascii="Arial" w:hAnsi="Arial" w:cs="Arial"/>
          <w:bCs/>
        </w:rPr>
        <w:t xml:space="preserve"> leads on operational opportunities and delivers approved commercial ideas in collaboration with the VFM Steering Group.</w:t>
      </w:r>
    </w:p>
    <w:p w14:paraId="1F78A8B9" w14:textId="77777777" w:rsidR="00D36A3E" w:rsidRPr="009D3B85" w:rsidRDefault="00D36A3E" w:rsidP="00B369C7">
      <w:pPr>
        <w:jc w:val="both"/>
        <w:rPr>
          <w:rFonts w:ascii="Arial" w:hAnsi="Arial" w:cs="Arial"/>
          <w:b/>
        </w:rPr>
      </w:pPr>
      <w:r w:rsidRPr="009D3B85">
        <w:rPr>
          <w:rFonts w:ascii="Arial" w:hAnsi="Arial" w:cs="Arial"/>
          <w:b/>
        </w:rPr>
        <w:t>4.5 Customers</w:t>
      </w:r>
    </w:p>
    <w:p w14:paraId="72ED8B15" w14:textId="77777777" w:rsidR="00D36A3E" w:rsidRPr="009D3B85" w:rsidRDefault="00D36A3E" w:rsidP="00B369C7">
      <w:pPr>
        <w:jc w:val="both"/>
        <w:rPr>
          <w:rFonts w:ascii="Arial" w:hAnsi="Arial" w:cs="Arial"/>
          <w:bCs/>
        </w:rPr>
      </w:pPr>
      <w:r w:rsidRPr="009D3B85">
        <w:rPr>
          <w:rFonts w:ascii="Arial" w:hAnsi="Arial" w:cs="Arial"/>
          <w:bCs/>
        </w:rPr>
        <w:t>Customers influence VFM through the CX Committee and Tenant Scrutiny Group, supported by transparent performance reporting and regular engagement.</w:t>
      </w:r>
    </w:p>
    <w:p w14:paraId="7573D581" w14:textId="77777777" w:rsidR="002F5A48" w:rsidRDefault="002F5A48" w:rsidP="00B369C7">
      <w:pPr>
        <w:jc w:val="both"/>
        <w:rPr>
          <w:rFonts w:ascii="Arial" w:hAnsi="Arial" w:cs="Arial"/>
          <w:b/>
        </w:rPr>
      </w:pPr>
    </w:p>
    <w:p w14:paraId="1D6B4D84" w14:textId="77777777" w:rsidR="0025168E" w:rsidRDefault="0025168E" w:rsidP="00B369C7">
      <w:pPr>
        <w:jc w:val="both"/>
        <w:rPr>
          <w:rFonts w:ascii="Arial" w:hAnsi="Arial" w:cs="Arial"/>
          <w:b/>
        </w:rPr>
      </w:pPr>
    </w:p>
    <w:p w14:paraId="0BFF74BD" w14:textId="77777777" w:rsidR="0025168E" w:rsidRPr="009D3B85" w:rsidRDefault="0025168E" w:rsidP="00B369C7">
      <w:pPr>
        <w:jc w:val="both"/>
        <w:rPr>
          <w:rFonts w:ascii="Arial" w:hAnsi="Arial" w:cs="Arial"/>
          <w:b/>
        </w:rPr>
      </w:pPr>
    </w:p>
    <w:p w14:paraId="1DFDA894" w14:textId="6C64E360" w:rsidR="00D36A3E" w:rsidRPr="009D3B85" w:rsidRDefault="00D36A3E" w:rsidP="00B369C7">
      <w:pPr>
        <w:jc w:val="both"/>
        <w:rPr>
          <w:rFonts w:ascii="Arial" w:hAnsi="Arial" w:cs="Arial"/>
          <w:b/>
        </w:rPr>
      </w:pPr>
      <w:r w:rsidRPr="009D3B85">
        <w:rPr>
          <w:rFonts w:ascii="Arial" w:hAnsi="Arial" w:cs="Arial"/>
          <w:b/>
        </w:rPr>
        <w:lastRenderedPageBreak/>
        <w:t>4.6 Colleagues</w:t>
      </w:r>
    </w:p>
    <w:p w14:paraId="27390AA9" w14:textId="77777777" w:rsidR="00D36A3E" w:rsidRPr="009D3B85" w:rsidRDefault="00D36A3E" w:rsidP="00B369C7">
      <w:pPr>
        <w:jc w:val="both"/>
        <w:rPr>
          <w:rFonts w:ascii="Arial" w:hAnsi="Arial" w:cs="Arial"/>
          <w:bCs/>
        </w:rPr>
      </w:pPr>
      <w:r w:rsidRPr="009D3B85">
        <w:rPr>
          <w:rFonts w:ascii="Arial" w:hAnsi="Arial" w:cs="Arial"/>
          <w:bCs/>
        </w:rPr>
        <w:t>Colleagues are central to delivering VFM. Managers and budget holders are responsible for effective budget management, supported by engagement activity and opportunities to submit improvement ideas.</w:t>
      </w:r>
    </w:p>
    <w:p w14:paraId="525AC784" w14:textId="77777777" w:rsidR="00D36A3E" w:rsidRPr="009D3B85" w:rsidRDefault="00D36A3E" w:rsidP="00B369C7">
      <w:pPr>
        <w:jc w:val="both"/>
        <w:rPr>
          <w:rFonts w:ascii="Arial" w:hAnsi="Arial" w:cs="Arial"/>
          <w:b/>
        </w:rPr>
      </w:pPr>
      <w:r w:rsidRPr="009D3B85">
        <w:rPr>
          <w:rFonts w:ascii="Arial" w:hAnsi="Arial" w:cs="Arial"/>
          <w:b/>
        </w:rPr>
        <w:t>4.7 Regulator of Social Housing</w:t>
      </w:r>
    </w:p>
    <w:p w14:paraId="7FA4EFC9" w14:textId="77777777" w:rsidR="00D36A3E" w:rsidRPr="009D3B85" w:rsidRDefault="00D36A3E" w:rsidP="00B369C7">
      <w:pPr>
        <w:jc w:val="both"/>
        <w:rPr>
          <w:rFonts w:ascii="Arial" w:hAnsi="Arial" w:cs="Arial"/>
          <w:bCs/>
        </w:rPr>
      </w:pPr>
      <w:r w:rsidRPr="009D3B85">
        <w:rPr>
          <w:rFonts w:ascii="Arial" w:hAnsi="Arial" w:cs="Arial"/>
          <w:bCs/>
        </w:rPr>
        <w:t>The Regulator of Social Housing sets the VFM framework and monitors compliance through ongoing engagement and inspection.</w:t>
      </w:r>
    </w:p>
    <w:p w14:paraId="758FF43E" w14:textId="77777777" w:rsidR="00D36A3E" w:rsidRPr="009D3B85" w:rsidRDefault="00D36A3E" w:rsidP="00B369C7">
      <w:pPr>
        <w:jc w:val="both"/>
        <w:rPr>
          <w:rFonts w:ascii="Arial" w:hAnsi="Arial" w:cs="Arial"/>
          <w:b/>
        </w:rPr>
      </w:pPr>
      <w:r w:rsidRPr="009D3B85">
        <w:rPr>
          <w:rFonts w:ascii="Arial" w:hAnsi="Arial" w:cs="Arial"/>
          <w:b/>
        </w:rPr>
        <w:t>5. Realising and Demonstrating VFM</w:t>
      </w:r>
    </w:p>
    <w:p w14:paraId="2E99E30A" w14:textId="4208AAB4" w:rsidR="00D36A3E" w:rsidRPr="009D3B85" w:rsidRDefault="00D36A3E" w:rsidP="00B369C7">
      <w:pPr>
        <w:jc w:val="both"/>
        <w:rPr>
          <w:rFonts w:ascii="Arial" w:hAnsi="Arial" w:cs="Arial"/>
          <w:bCs/>
        </w:rPr>
      </w:pPr>
      <w:r w:rsidRPr="009D3B85">
        <w:rPr>
          <w:rFonts w:ascii="Arial" w:hAnsi="Arial" w:cs="Arial"/>
          <w:bCs/>
        </w:rPr>
        <w:t>VFM performance is measured through compliance with the RSH’s VFM Standard, benchmarking against peers, and publication of an annual VFM statement.</w:t>
      </w:r>
      <w:r w:rsidR="00EC34DC">
        <w:rPr>
          <w:rFonts w:ascii="Arial" w:hAnsi="Arial" w:cs="Arial"/>
          <w:bCs/>
        </w:rPr>
        <w:t xml:space="preserve"> The </w:t>
      </w:r>
      <w:r w:rsidR="00AA2831">
        <w:rPr>
          <w:rFonts w:ascii="Arial" w:hAnsi="Arial" w:cs="Arial"/>
          <w:bCs/>
        </w:rPr>
        <w:t xml:space="preserve">VFM metrics arising from the latest approved </w:t>
      </w:r>
      <w:r w:rsidR="007D4CBB">
        <w:rPr>
          <w:rFonts w:ascii="Arial" w:hAnsi="Arial" w:cs="Arial"/>
          <w:bCs/>
        </w:rPr>
        <w:t>B</w:t>
      </w:r>
      <w:r w:rsidR="00AA2831">
        <w:rPr>
          <w:rFonts w:ascii="Arial" w:hAnsi="Arial" w:cs="Arial"/>
          <w:bCs/>
        </w:rPr>
        <w:t xml:space="preserve">usiness </w:t>
      </w:r>
      <w:r w:rsidR="007D4CBB">
        <w:rPr>
          <w:rFonts w:ascii="Arial" w:hAnsi="Arial" w:cs="Arial"/>
          <w:bCs/>
        </w:rPr>
        <w:t>P</w:t>
      </w:r>
      <w:r w:rsidR="00AA2831">
        <w:rPr>
          <w:rFonts w:ascii="Arial" w:hAnsi="Arial" w:cs="Arial"/>
          <w:bCs/>
        </w:rPr>
        <w:t>lan are in Appendix B</w:t>
      </w:r>
      <w:r w:rsidR="007D4CBB">
        <w:rPr>
          <w:rFonts w:ascii="Arial" w:hAnsi="Arial" w:cs="Arial"/>
          <w:bCs/>
        </w:rPr>
        <w:t>, which will be updated each year when the Business Plan is refreshed</w:t>
      </w:r>
    </w:p>
    <w:p w14:paraId="60A7BB7E" w14:textId="77777777" w:rsidR="00D36A3E" w:rsidRPr="009D3B85" w:rsidRDefault="00D36A3E" w:rsidP="00B369C7">
      <w:pPr>
        <w:jc w:val="both"/>
        <w:rPr>
          <w:rFonts w:ascii="Arial" w:hAnsi="Arial" w:cs="Arial"/>
          <w:bCs/>
        </w:rPr>
      </w:pPr>
      <w:r w:rsidRPr="009D3B85">
        <w:rPr>
          <w:rFonts w:ascii="Arial" w:hAnsi="Arial" w:cs="Arial"/>
          <w:bCs/>
        </w:rPr>
        <w:t>Internal VFM measures are monitored through the performance management framework to provide clear Board oversight.</w:t>
      </w:r>
    </w:p>
    <w:p w14:paraId="1DD0A7D8" w14:textId="77777777" w:rsidR="00D36A3E" w:rsidRPr="009D3B85" w:rsidRDefault="00D36A3E" w:rsidP="00B369C7">
      <w:pPr>
        <w:jc w:val="both"/>
        <w:rPr>
          <w:rFonts w:ascii="Arial" w:hAnsi="Arial" w:cs="Arial"/>
          <w:b/>
        </w:rPr>
      </w:pPr>
      <w:r w:rsidRPr="009D3B85">
        <w:rPr>
          <w:rFonts w:ascii="Arial" w:hAnsi="Arial" w:cs="Arial"/>
          <w:b/>
        </w:rPr>
        <w:t>6. VFM Strategy Action Plan</w:t>
      </w:r>
    </w:p>
    <w:p w14:paraId="68C3BF7D" w14:textId="199E7EE4" w:rsidR="00D36A3E" w:rsidRPr="009D3B85" w:rsidRDefault="00D36A3E" w:rsidP="00B369C7">
      <w:pPr>
        <w:jc w:val="both"/>
        <w:rPr>
          <w:rFonts w:ascii="Arial" w:hAnsi="Arial" w:cs="Arial"/>
          <w:bCs/>
        </w:rPr>
      </w:pPr>
      <w:r w:rsidRPr="009D3B85">
        <w:rPr>
          <w:rFonts w:ascii="Arial" w:hAnsi="Arial" w:cs="Arial"/>
          <w:bCs/>
        </w:rPr>
        <w:t xml:space="preserve">Appendix </w:t>
      </w:r>
      <w:r w:rsidR="00C504B4">
        <w:rPr>
          <w:rFonts w:ascii="Arial" w:hAnsi="Arial" w:cs="Arial"/>
          <w:bCs/>
        </w:rPr>
        <w:t>C</w:t>
      </w:r>
      <w:r w:rsidRPr="009D3B85">
        <w:rPr>
          <w:rFonts w:ascii="Arial" w:hAnsi="Arial" w:cs="Arial"/>
          <w:bCs/>
        </w:rPr>
        <w:t xml:space="preserve"> sets out the action plan supporting delivery of this strategy and monitoring of internal VFM measures.</w:t>
      </w:r>
    </w:p>
    <w:p w14:paraId="38961D31" w14:textId="77777777" w:rsidR="00D36A3E" w:rsidRPr="009D3B85" w:rsidRDefault="00D36A3E" w:rsidP="00B369C7">
      <w:pPr>
        <w:jc w:val="both"/>
        <w:rPr>
          <w:rFonts w:ascii="Arial" w:hAnsi="Arial" w:cs="Arial"/>
          <w:b/>
        </w:rPr>
      </w:pPr>
      <w:r w:rsidRPr="009D3B85">
        <w:rPr>
          <w:rFonts w:ascii="Arial" w:hAnsi="Arial" w:cs="Arial"/>
          <w:b/>
        </w:rPr>
        <w:t>7. Review</w:t>
      </w:r>
    </w:p>
    <w:p w14:paraId="71EAA129" w14:textId="77777777" w:rsidR="00D36A3E" w:rsidRPr="009D3B85" w:rsidRDefault="00D36A3E" w:rsidP="00B369C7">
      <w:pPr>
        <w:jc w:val="both"/>
        <w:rPr>
          <w:rFonts w:ascii="Arial" w:hAnsi="Arial" w:cs="Arial"/>
          <w:bCs/>
        </w:rPr>
      </w:pPr>
      <w:r w:rsidRPr="009D3B85">
        <w:rPr>
          <w:rFonts w:ascii="Arial" w:hAnsi="Arial" w:cs="Arial"/>
          <w:bCs/>
        </w:rPr>
        <w:t>This strategy will be reviewed alongside the Group’s Corporate Plan in March 2029, with annual updates provided to the Board.</w:t>
      </w:r>
    </w:p>
    <w:p w14:paraId="5135A338" w14:textId="77777777" w:rsidR="00D36A3E" w:rsidRPr="009D3B85" w:rsidRDefault="00D36A3E" w:rsidP="00B369C7">
      <w:pPr>
        <w:jc w:val="both"/>
        <w:rPr>
          <w:rFonts w:ascii="Arial" w:hAnsi="Arial" w:cs="Arial"/>
          <w:b/>
        </w:rPr>
      </w:pPr>
      <w:r w:rsidRPr="009D3B85">
        <w:rPr>
          <w:rFonts w:ascii="Arial" w:hAnsi="Arial" w:cs="Arial"/>
          <w:b/>
        </w:rPr>
        <w:t>8. Glossary of Terms</w:t>
      </w:r>
    </w:p>
    <w:p w14:paraId="11C388F8" w14:textId="77777777" w:rsidR="00D36A3E" w:rsidRPr="009D3B85" w:rsidRDefault="00D36A3E" w:rsidP="00B369C7">
      <w:pPr>
        <w:jc w:val="both"/>
        <w:rPr>
          <w:rFonts w:ascii="Arial" w:hAnsi="Arial" w:cs="Arial"/>
          <w:bCs/>
        </w:rPr>
      </w:pPr>
      <w:r w:rsidRPr="00E80F04">
        <w:rPr>
          <w:rFonts w:ascii="Arial" w:hAnsi="Arial" w:cs="Arial"/>
          <w:b/>
        </w:rPr>
        <w:t>Benchmarking</w:t>
      </w:r>
      <w:r w:rsidRPr="009D3B85">
        <w:rPr>
          <w:rFonts w:ascii="Arial" w:hAnsi="Arial" w:cs="Arial"/>
          <w:bCs/>
        </w:rPr>
        <w:t>: comparison of performance against other similar organisations.</w:t>
      </w:r>
    </w:p>
    <w:p w14:paraId="156A3B9B" w14:textId="77777777" w:rsidR="00D36A3E" w:rsidRPr="009D3B85" w:rsidRDefault="00D36A3E" w:rsidP="00B369C7">
      <w:pPr>
        <w:jc w:val="both"/>
        <w:rPr>
          <w:rFonts w:ascii="Arial" w:hAnsi="Arial" w:cs="Arial"/>
          <w:bCs/>
        </w:rPr>
      </w:pPr>
      <w:r w:rsidRPr="00E80F04">
        <w:rPr>
          <w:rFonts w:ascii="Arial" w:hAnsi="Arial" w:cs="Arial"/>
          <w:b/>
        </w:rPr>
        <w:t>Best practice</w:t>
      </w:r>
      <w:r w:rsidRPr="009D3B85">
        <w:rPr>
          <w:rFonts w:ascii="Arial" w:hAnsi="Arial" w:cs="Arial"/>
          <w:bCs/>
        </w:rPr>
        <w:t>: the most effective method of carrying out a process, based on experience.</w:t>
      </w:r>
    </w:p>
    <w:p w14:paraId="277D74EA" w14:textId="77777777" w:rsidR="00D36A3E" w:rsidRPr="009D3B85" w:rsidRDefault="00D36A3E" w:rsidP="00B369C7">
      <w:pPr>
        <w:jc w:val="both"/>
        <w:rPr>
          <w:rFonts w:ascii="Arial" w:hAnsi="Arial" w:cs="Arial"/>
          <w:bCs/>
        </w:rPr>
      </w:pPr>
      <w:r w:rsidRPr="00E80F04">
        <w:rPr>
          <w:rFonts w:ascii="Arial" w:hAnsi="Arial" w:cs="Arial"/>
          <w:b/>
        </w:rPr>
        <w:t>Greater Manchester Spend</w:t>
      </w:r>
      <w:r w:rsidRPr="009D3B85">
        <w:rPr>
          <w:rFonts w:ascii="Arial" w:hAnsi="Arial" w:cs="Arial"/>
          <w:bCs/>
        </w:rPr>
        <w:t>: expenditure within Greater Manchester boroughs.</w:t>
      </w:r>
    </w:p>
    <w:p w14:paraId="12FAF30D" w14:textId="19B9CCD8" w:rsidR="00D36A3E" w:rsidRPr="009D3B85" w:rsidRDefault="00D36A3E" w:rsidP="00B369C7">
      <w:pPr>
        <w:jc w:val="both"/>
        <w:rPr>
          <w:rFonts w:ascii="Arial" w:hAnsi="Arial" w:cs="Arial"/>
          <w:bCs/>
        </w:rPr>
      </w:pPr>
      <w:r w:rsidRPr="009D3B85">
        <w:rPr>
          <w:rFonts w:ascii="Arial" w:hAnsi="Arial" w:cs="Arial"/>
          <w:bCs/>
        </w:rPr>
        <w:t>Service Charge: payments made by leaseholders</w:t>
      </w:r>
      <w:r w:rsidR="00E80F04">
        <w:rPr>
          <w:rFonts w:ascii="Arial" w:hAnsi="Arial" w:cs="Arial"/>
          <w:bCs/>
        </w:rPr>
        <w:t xml:space="preserve"> and some tenants</w:t>
      </w:r>
      <w:r w:rsidRPr="009D3B85">
        <w:rPr>
          <w:rFonts w:ascii="Arial" w:hAnsi="Arial" w:cs="Arial"/>
          <w:bCs/>
        </w:rPr>
        <w:t xml:space="preserve"> for services provided.</w:t>
      </w:r>
    </w:p>
    <w:p w14:paraId="404AFC7C" w14:textId="77777777" w:rsidR="00D36A3E" w:rsidRPr="009D3B85" w:rsidRDefault="00D36A3E" w:rsidP="00B369C7">
      <w:pPr>
        <w:jc w:val="both"/>
        <w:rPr>
          <w:rFonts w:ascii="Arial" w:hAnsi="Arial" w:cs="Arial"/>
          <w:bCs/>
        </w:rPr>
      </w:pPr>
      <w:r w:rsidRPr="001E19D9">
        <w:rPr>
          <w:rFonts w:ascii="Arial" w:hAnsi="Arial" w:cs="Arial"/>
          <w:b/>
        </w:rPr>
        <w:t>SHAPE</w:t>
      </w:r>
      <w:r w:rsidRPr="009D3B85">
        <w:rPr>
          <w:rFonts w:ascii="Arial" w:hAnsi="Arial" w:cs="Arial"/>
          <w:bCs/>
        </w:rPr>
        <w:t>: Social Housing Asset Performance Evaluation platform supporting asset management decisions.</w:t>
      </w:r>
    </w:p>
    <w:p w14:paraId="17C4F4D2" w14:textId="77777777" w:rsidR="00D36A3E" w:rsidRPr="009D3B85" w:rsidRDefault="00D36A3E" w:rsidP="00B369C7">
      <w:pPr>
        <w:jc w:val="both"/>
        <w:rPr>
          <w:rFonts w:ascii="Arial" w:hAnsi="Arial" w:cs="Arial"/>
          <w:bCs/>
        </w:rPr>
      </w:pPr>
      <w:r w:rsidRPr="001E19D9">
        <w:rPr>
          <w:rFonts w:ascii="Arial" w:hAnsi="Arial" w:cs="Arial"/>
          <w:b/>
        </w:rPr>
        <w:t>Social Value</w:t>
      </w:r>
      <w:r w:rsidRPr="009D3B85">
        <w:rPr>
          <w:rFonts w:ascii="Arial" w:hAnsi="Arial" w:cs="Arial"/>
          <w:bCs/>
        </w:rPr>
        <w:t>: the impact WCHG has on society, the environment, and the economy.</w:t>
      </w:r>
    </w:p>
    <w:p w14:paraId="5E8889F3" w14:textId="79F0D29C" w:rsidR="00B61883" w:rsidRPr="009D3B85" w:rsidRDefault="00D36A3E" w:rsidP="00B369C7">
      <w:pPr>
        <w:jc w:val="both"/>
        <w:rPr>
          <w:rFonts w:ascii="Arial" w:hAnsi="Arial" w:cs="Arial"/>
          <w:bCs/>
        </w:rPr>
      </w:pPr>
      <w:r w:rsidRPr="001E19D9">
        <w:rPr>
          <w:rFonts w:ascii="Arial" w:hAnsi="Arial" w:cs="Arial"/>
          <w:b/>
        </w:rPr>
        <w:t>Value for Money</w:t>
      </w:r>
      <w:r w:rsidRPr="009D3B85">
        <w:rPr>
          <w:rFonts w:ascii="Arial" w:hAnsi="Arial" w:cs="Arial"/>
          <w:bCs/>
        </w:rPr>
        <w:t>: maximising resources to deliver high</w:t>
      </w:r>
      <w:r w:rsidRPr="009D3B85">
        <w:rPr>
          <w:rFonts w:ascii="Cambria Math" w:hAnsi="Cambria Math" w:cs="Cambria Math"/>
          <w:bCs/>
        </w:rPr>
        <w:t>‑</w:t>
      </w:r>
      <w:r w:rsidRPr="009D3B85">
        <w:rPr>
          <w:rFonts w:ascii="Arial" w:hAnsi="Arial" w:cs="Arial"/>
          <w:bCs/>
        </w:rPr>
        <w:t>quality services and positive social outcomes.</w:t>
      </w:r>
    </w:p>
    <w:p w14:paraId="62C19772" w14:textId="77777777" w:rsidR="007B2E38" w:rsidRPr="009D3B85" w:rsidRDefault="007B2E38" w:rsidP="00B369C7">
      <w:pPr>
        <w:jc w:val="both"/>
        <w:rPr>
          <w:rFonts w:ascii="Arial" w:hAnsi="Arial" w:cs="Arial"/>
          <w:bCs/>
        </w:rPr>
      </w:pPr>
    </w:p>
    <w:p w14:paraId="06976988" w14:textId="77777777" w:rsidR="007B2E38" w:rsidRDefault="007B2E38" w:rsidP="00B369C7">
      <w:pPr>
        <w:jc w:val="both"/>
        <w:rPr>
          <w:rFonts w:ascii="Arial" w:hAnsi="Arial" w:cs="Arial"/>
          <w:bCs/>
        </w:rPr>
      </w:pPr>
    </w:p>
    <w:p w14:paraId="2D679497" w14:textId="77777777" w:rsidR="009D3B85" w:rsidRDefault="009D3B85" w:rsidP="00B369C7">
      <w:pPr>
        <w:jc w:val="both"/>
        <w:rPr>
          <w:rFonts w:ascii="Arial" w:hAnsi="Arial" w:cs="Arial"/>
          <w:bCs/>
        </w:rPr>
      </w:pPr>
    </w:p>
    <w:p w14:paraId="41573708" w14:textId="77777777" w:rsidR="009D3B85" w:rsidRPr="009D3B85" w:rsidRDefault="009D3B85" w:rsidP="00B369C7">
      <w:pPr>
        <w:jc w:val="both"/>
        <w:rPr>
          <w:rFonts w:ascii="Arial" w:hAnsi="Arial" w:cs="Arial"/>
          <w:bCs/>
        </w:rPr>
      </w:pPr>
    </w:p>
    <w:p w14:paraId="28F0C30A" w14:textId="77777777" w:rsidR="007B2E38" w:rsidRDefault="007B2E38" w:rsidP="00B369C7">
      <w:pPr>
        <w:jc w:val="both"/>
        <w:rPr>
          <w:rFonts w:ascii="Arial" w:hAnsi="Arial" w:cs="Arial"/>
          <w:bCs/>
        </w:rPr>
      </w:pPr>
    </w:p>
    <w:p w14:paraId="6D36F9D8" w14:textId="77777777" w:rsidR="00E80F04" w:rsidRPr="009D3B85" w:rsidRDefault="00E80F04" w:rsidP="00B369C7">
      <w:pPr>
        <w:jc w:val="both"/>
        <w:rPr>
          <w:rFonts w:ascii="Arial" w:hAnsi="Arial" w:cs="Arial"/>
          <w:bCs/>
        </w:rPr>
      </w:pPr>
    </w:p>
    <w:p w14:paraId="01A8DB5C" w14:textId="77777777" w:rsidR="007B2E38" w:rsidRDefault="007B2E38" w:rsidP="00B369C7">
      <w:pPr>
        <w:pStyle w:val="Heading1"/>
        <w:jc w:val="both"/>
        <w:rPr>
          <w:rFonts w:ascii="Arial" w:hAnsi="Arial" w:cs="Arial"/>
          <w:color w:val="auto"/>
          <w:sz w:val="22"/>
          <w:szCs w:val="22"/>
        </w:rPr>
      </w:pPr>
      <w:r w:rsidRPr="009D3B85">
        <w:rPr>
          <w:rFonts w:ascii="Arial" w:hAnsi="Arial" w:cs="Arial"/>
          <w:color w:val="auto"/>
          <w:sz w:val="22"/>
          <w:szCs w:val="22"/>
        </w:rPr>
        <w:lastRenderedPageBreak/>
        <w:t>Appendix A – 24–26 Value for Money Strategy Action Plan Delivery and Achievements</w:t>
      </w:r>
    </w:p>
    <w:p w14:paraId="7889ACB7" w14:textId="77777777" w:rsidR="00E80F04" w:rsidRDefault="00E80F04" w:rsidP="00B369C7">
      <w:pPr>
        <w:jc w:val="both"/>
        <w:rPr>
          <w:rFonts w:ascii="Arial" w:hAnsi="Arial" w:cs="Arial"/>
        </w:rPr>
      </w:pPr>
    </w:p>
    <w:p w14:paraId="45F40DC5" w14:textId="1489763D" w:rsidR="007B2E38" w:rsidRPr="009D3B85" w:rsidRDefault="007B2E38" w:rsidP="00B369C7">
      <w:pPr>
        <w:jc w:val="both"/>
        <w:rPr>
          <w:rFonts w:ascii="Arial" w:hAnsi="Arial" w:cs="Arial"/>
        </w:rPr>
      </w:pPr>
      <w:r w:rsidRPr="009D3B85">
        <w:rPr>
          <w:rFonts w:ascii="Arial" w:hAnsi="Arial" w:cs="Arial"/>
        </w:rPr>
        <w:t>This appendix summarises the key actions delivered and achievements made during the 2024–2026 ‘Commercial Head, Social Heart’ Value for Money (VFM) Strategy. The strategy was developed following consultation with colleagues and Board members and focused on improving services, strengthening efficiency, and embedding value for money across the organisation.</w:t>
      </w:r>
    </w:p>
    <w:p w14:paraId="3EC124FF" w14:textId="77777777" w:rsidR="007B2E38" w:rsidRPr="009D3B85" w:rsidRDefault="007B2E38" w:rsidP="00B369C7">
      <w:pPr>
        <w:jc w:val="both"/>
        <w:rPr>
          <w:rFonts w:ascii="Arial" w:hAnsi="Arial" w:cs="Arial"/>
        </w:rPr>
      </w:pPr>
      <w:r w:rsidRPr="009D3B85">
        <w:rPr>
          <w:rFonts w:ascii="Arial" w:hAnsi="Arial" w:cs="Arial"/>
        </w:rPr>
        <w:t>The sections below set out the achievements against each strategic objective, demonstrating how value for money has been delivered in practice and how learning from this period has informed the refreshed 2026–2029 strategy.</w:t>
      </w:r>
    </w:p>
    <w:p w14:paraId="12B51532" w14:textId="77777777" w:rsidR="007B2E38" w:rsidRPr="009D3B85" w:rsidRDefault="007B2E38" w:rsidP="00B369C7">
      <w:pPr>
        <w:pStyle w:val="Heading2"/>
        <w:jc w:val="both"/>
        <w:rPr>
          <w:rFonts w:ascii="Arial" w:hAnsi="Arial" w:cs="Arial"/>
          <w:color w:val="auto"/>
          <w:sz w:val="22"/>
          <w:szCs w:val="22"/>
        </w:rPr>
      </w:pPr>
      <w:r w:rsidRPr="009D3B85">
        <w:rPr>
          <w:rFonts w:ascii="Arial" w:hAnsi="Arial" w:cs="Arial"/>
          <w:color w:val="auto"/>
          <w:sz w:val="22"/>
          <w:szCs w:val="22"/>
        </w:rPr>
        <w:t xml:space="preserve">1 We run our business efficiently and effectively by aligning best practice procurement and contract management practices to our </w:t>
      </w:r>
      <w:proofErr w:type="gramStart"/>
      <w:r w:rsidRPr="009D3B85">
        <w:rPr>
          <w:rFonts w:ascii="Arial" w:hAnsi="Arial" w:cs="Arial"/>
          <w:color w:val="auto"/>
          <w:sz w:val="22"/>
          <w:szCs w:val="22"/>
        </w:rPr>
        <w:t>day to day</w:t>
      </w:r>
      <w:proofErr w:type="gramEnd"/>
      <w:r w:rsidRPr="009D3B85">
        <w:rPr>
          <w:rFonts w:ascii="Arial" w:hAnsi="Arial" w:cs="Arial"/>
          <w:color w:val="auto"/>
          <w:sz w:val="22"/>
          <w:szCs w:val="22"/>
        </w:rPr>
        <w:t xml:space="preserve"> operations.</w:t>
      </w:r>
    </w:p>
    <w:p w14:paraId="47FAC860" w14:textId="77777777" w:rsidR="007B2E38" w:rsidRPr="009D3B85" w:rsidRDefault="007B2E38" w:rsidP="00B369C7">
      <w:pPr>
        <w:jc w:val="both"/>
        <w:rPr>
          <w:rFonts w:ascii="Arial" w:hAnsi="Arial" w:cs="Arial"/>
        </w:rPr>
      </w:pPr>
      <w:r w:rsidRPr="009D3B85">
        <w:rPr>
          <w:rFonts w:ascii="Arial" w:hAnsi="Arial" w:cs="Arial"/>
        </w:rPr>
        <w:t>A key focus of the strategy was embedding best</w:t>
      </w:r>
      <w:r w:rsidRPr="009D3B85">
        <w:rPr>
          <w:rFonts w:ascii="Cambria Math" w:hAnsi="Cambria Math" w:cs="Cambria Math"/>
        </w:rPr>
        <w:t>‑</w:t>
      </w:r>
      <w:r w:rsidRPr="009D3B85">
        <w:rPr>
          <w:rFonts w:ascii="Arial" w:hAnsi="Arial" w:cs="Arial"/>
        </w:rPr>
        <w:t>practice procurement and strengthening contract management across the Group. The procurement team was expanded to four colleagues, including an apprentice, enabling a more strategic approach to tendering, social value delivery, spend analysis, and contract oversight across approximately £90 million of annual third</w:t>
      </w:r>
      <w:r w:rsidRPr="009D3B85">
        <w:rPr>
          <w:rFonts w:ascii="Cambria Math" w:hAnsi="Cambria Math" w:cs="Cambria Math"/>
        </w:rPr>
        <w:t>‑</w:t>
      </w:r>
      <w:r w:rsidRPr="009D3B85">
        <w:rPr>
          <w:rFonts w:ascii="Arial" w:hAnsi="Arial" w:cs="Arial"/>
        </w:rPr>
        <w:t>party spend.</w:t>
      </w:r>
    </w:p>
    <w:p w14:paraId="7AE5E0F7" w14:textId="77777777" w:rsidR="007B2E38" w:rsidRPr="009D3B85" w:rsidRDefault="007B2E38" w:rsidP="00B369C7">
      <w:pPr>
        <w:jc w:val="both"/>
        <w:rPr>
          <w:rFonts w:ascii="Arial" w:hAnsi="Arial" w:cs="Arial"/>
        </w:rPr>
      </w:pPr>
      <w:r w:rsidRPr="009D3B85">
        <w:rPr>
          <w:rFonts w:ascii="Arial" w:hAnsi="Arial" w:cs="Arial"/>
        </w:rPr>
        <w:t>In 2024/25, the team delivered £1.1 million in procurement efficiencies through improved contracting activity, representing a return of approximately five times the cost of the team. In 2025/26 year</w:t>
      </w:r>
      <w:r w:rsidRPr="009D3B85">
        <w:rPr>
          <w:rFonts w:ascii="Cambria Math" w:hAnsi="Cambria Math" w:cs="Cambria Math"/>
        </w:rPr>
        <w:t>‑</w:t>
      </w:r>
      <w:r w:rsidRPr="009D3B85">
        <w:rPr>
          <w:rFonts w:ascii="Arial" w:hAnsi="Arial" w:cs="Arial"/>
        </w:rPr>
        <w:t>to</w:t>
      </w:r>
      <w:r w:rsidRPr="009D3B85">
        <w:rPr>
          <w:rFonts w:ascii="Cambria Math" w:hAnsi="Cambria Math" w:cs="Cambria Math"/>
        </w:rPr>
        <w:t>‑</w:t>
      </w:r>
      <w:r w:rsidRPr="009D3B85">
        <w:rPr>
          <w:rFonts w:ascii="Arial" w:hAnsi="Arial" w:cs="Arial"/>
        </w:rPr>
        <w:t>date, a further £1.6 million of procurement efficiencies has been delivered.</w:t>
      </w:r>
    </w:p>
    <w:p w14:paraId="5FF4589E" w14:textId="77777777" w:rsidR="007B2E38" w:rsidRPr="009D3B85" w:rsidRDefault="007B2E38" w:rsidP="00B369C7">
      <w:pPr>
        <w:jc w:val="both"/>
        <w:rPr>
          <w:rFonts w:ascii="Arial" w:hAnsi="Arial" w:cs="Arial"/>
        </w:rPr>
      </w:pPr>
      <w:r w:rsidRPr="009D3B85">
        <w:rPr>
          <w:rFonts w:ascii="Arial" w:hAnsi="Arial" w:cs="Arial"/>
        </w:rPr>
        <w:t>A contract management framework and toolkit were introduced to support colleagues in managing contracts effectively and consistently. Training has been completed and performance reporting is scheduled to commence in the final quarter of 2025/26, providing improved transparency and assurance over supplier performance.</w:t>
      </w:r>
    </w:p>
    <w:p w14:paraId="3BF88D06" w14:textId="77777777" w:rsidR="007B2E38" w:rsidRPr="009D3B85" w:rsidRDefault="007B2E38" w:rsidP="00B369C7">
      <w:pPr>
        <w:jc w:val="both"/>
        <w:rPr>
          <w:rFonts w:ascii="Arial" w:hAnsi="Arial" w:cs="Arial"/>
        </w:rPr>
      </w:pPr>
      <w:r w:rsidRPr="009D3B85">
        <w:rPr>
          <w:rFonts w:ascii="Arial" w:hAnsi="Arial" w:cs="Arial"/>
        </w:rPr>
        <w:t>The VFM Steering Group, working closely with the procurement team, also introduced a more strategic approach to analysing third</w:t>
      </w:r>
      <w:r w:rsidRPr="009D3B85">
        <w:rPr>
          <w:rFonts w:ascii="Cambria Math" w:hAnsi="Cambria Math" w:cs="Cambria Math"/>
        </w:rPr>
        <w:t>‑</w:t>
      </w:r>
      <w:r w:rsidRPr="009D3B85">
        <w:rPr>
          <w:rFonts w:ascii="Arial" w:hAnsi="Arial" w:cs="Arial"/>
        </w:rPr>
        <w:t>party spend. Monthly reviews of spend data now identify off</w:t>
      </w:r>
      <w:r w:rsidRPr="009D3B85">
        <w:rPr>
          <w:rFonts w:ascii="Cambria Math" w:hAnsi="Cambria Math" w:cs="Cambria Math"/>
        </w:rPr>
        <w:t>‑</w:t>
      </w:r>
      <w:r w:rsidRPr="009D3B85">
        <w:rPr>
          <w:rFonts w:ascii="Arial" w:hAnsi="Arial" w:cs="Arial"/>
        </w:rPr>
        <w:t>contract activity, overspend against contract values, and opportunities to reduce duplication across services.</w:t>
      </w:r>
    </w:p>
    <w:p w14:paraId="49470109" w14:textId="77777777" w:rsidR="007B2E38" w:rsidRPr="009D3B85" w:rsidRDefault="007B2E38" w:rsidP="00B369C7">
      <w:pPr>
        <w:pStyle w:val="Heading2"/>
        <w:jc w:val="both"/>
        <w:rPr>
          <w:rFonts w:ascii="Arial" w:hAnsi="Arial" w:cs="Arial"/>
          <w:color w:val="auto"/>
          <w:sz w:val="22"/>
          <w:szCs w:val="22"/>
        </w:rPr>
      </w:pPr>
      <w:r w:rsidRPr="009D3B85">
        <w:rPr>
          <w:rFonts w:ascii="Arial" w:hAnsi="Arial" w:cs="Arial"/>
          <w:color w:val="auto"/>
          <w:sz w:val="22"/>
          <w:szCs w:val="22"/>
        </w:rPr>
        <w:t>2 We comply with the RSH’s Value for Money Standard and support achievement of the future VFM targets, whilst delivering our own VFM performance measures</w:t>
      </w:r>
    </w:p>
    <w:p w14:paraId="43FF98A7" w14:textId="77777777" w:rsidR="007B2E38" w:rsidRPr="009D3B85" w:rsidRDefault="007B2E38" w:rsidP="00B369C7">
      <w:pPr>
        <w:jc w:val="both"/>
        <w:rPr>
          <w:rFonts w:ascii="Arial" w:hAnsi="Arial" w:cs="Arial"/>
        </w:rPr>
      </w:pPr>
      <w:r w:rsidRPr="009D3B85">
        <w:rPr>
          <w:rFonts w:ascii="Arial" w:hAnsi="Arial" w:cs="Arial"/>
        </w:rPr>
        <w:t>The organisation has continued to demonstrate compliance with the Regulator of Social Housing’s Value for Money Standard, evidenced by the retention of a G1/V1 regulatory judgement following annual scrutiny of financial statements, business plans, and regulatory returns.</w:t>
      </w:r>
    </w:p>
    <w:p w14:paraId="3F90051A" w14:textId="77777777" w:rsidR="007B2E38" w:rsidRPr="009D3B85" w:rsidRDefault="007B2E38" w:rsidP="00B369C7">
      <w:pPr>
        <w:jc w:val="both"/>
        <w:rPr>
          <w:rFonts w:ascii="Arial" w:hAnsi="Arial" w:cs="Arial"/>
        </w:rPr>
      </w:pPr>
      <w:r w:rsidRPr="009D3B85">
        <w:rPr>
          <w:rFonts w:ascii="Arial" w:hAnsi="Arial" w:cs="Arial"/>
        </w:rPr>
        <w:t>Value for Money considerations are embedded within governance and reporting arrangements, recognising that non</w:t>
      </w:r>
      <w:r w:rsidRPr="009D3B85">
        <w:rPr>
          <w:rFonts w:ascii="Cambria Math" w:hAnsi="Cambria Math" w:cs="Cambria Math"/>
        </w:rPr>
        <w:t>‑</w:t>
      </w:r>
      <w:r w:rsidRPr="009D3B85">
        <w:rPr>
          <w:rFonts w:ascii="Arial" w:hAnsi="Arial" w:cs="Arial"/>
        </w:rPr>
        <w:t>compliance could affect both Governance and Viability ratings. Internal VFM measures have now been incorporated into the corporate performance framework, strengthening Board and executive oversight.</w:t>
      </w:r>
    </w:p>
    <w:p w14:paraId="13208666" w14:textId="77777777" w:rsidR="007B2E38" w:rsidRPr="009D3B85" w:rsidRDefault="007B2E38" w:rsidP="00B369C7">
      <w:pPr>
        <w:pStyle w:val="Heading2"/>
        <w:jc w:val="both"/>
        <w:rPr>
          <w:rFonts w:ascii="Arial" w:hAnsi="Arial" w:cs="Arial"/>
          <w:color w:val="auto"/>
          <w:sz w:val="22"/>
          <w:szCs w:val="22"/>
        </w:rPr>
      </w:pPr>
      <w:r w:rsidRPr="009D3B85">
        <w:rPr>
          <w:rFonts w:ascii="Arial" w:hAnsi="Arial" w:cs="Arial"/>
          <w:color w:val="auto"/>
          <w:sz w:val="22"/>
          <w:szCs w:val="22"/>
        </w:rPr>
        <w:t xml:space="preserve">3 We create social value within our operations and our supply chains that </w:t>
      </w:r>
      <w:proofErr w:type="gramStart"/>
      <w:r w:rsidRPr="009D3B85">
        <w:rPr>
          <w:rFonts w:ascii="Arial" w:hAnsi="Arial" w:cs="Arial"/>
          <w:color w:val="auto"/>
          <w:sz w:val="22"/>
          <w:szCs w:val="22"/>
        </w:rPr>
        <w:t>delivers</w:t>
      </w:r>
      <w:proofErr w:type="gramEnd"/>
      <w:r w:rsidRPr="009D3B85">
        <w:rPr>
          <w:rFonts w:ascii="Arial" w:hAnsi="Arial" w:cs="Arial"/>
          <w:color w:val="auto"/>
          <w:sz w:val="22"/>
          <w:szCs w:val="22"/>
        </w:rPr>
        <w:t xml:space="preserve"> what’s important to customers and the community</w:t>
      </w:r>
    </w:p>
    <w:p w14:paraId="61D0A343" w14:textId="77777777" w:rsidR="007B2E38" w:rsidRPr="009D3B85" w:rsidRDefault="007B2E38" w:rsidP="00B369C7">
      <w:pPr>
        <w:jc w:val="both"/>
        <w:rPr>
          <w:rFonts w:ascii="Arial" w:hAnsi="Arial" w:cs="Arial"/>
        </w:rPr>
      </w:pPr>
      <w:r w:rsidRPr="009D3B85">
        <w:rPr>
          <w:rFonts w:ascii="Arial" w:hAnsi="Arial" w:cs="Arial"/>
        </w:rPr>
        <w:t>Social value has been a core element of the Value for Money Strategy. In 2024/25, 52% of third</w:t>
      </w:r>
      <w:r w:rsidRPr="009D3B85">
        <w:rPr>
          <w:rFonts w:ascii="Cambria Math" w:hAnsi="Cambria Math" w:cs="Cambria Math"/>
        </w:rPr>
        <w:t>‑</w:t>
      </w:r>
      <w:r w:rsidRPr="009D3B85">
        <w:rPr>
          <w:rFonts w:ascii="Arial" w:hAnsi="Arial" w:cs="Arial"/>
        </w:rPr>
        <w:t>party spend was with Greater Manchester</w:t>
      </w:r>
      <w:r w:rsidRPr="009D3B85">
        <w:rPr>
          <w:rFonts w:ascii="Cambria Math" w:hAnsi="Cambria Math" w:cs="Cambria Math"/>
        </w:rPr>
        <w:t>‑</w:t>
      </w:r>
      <w:r w:rsidRPr="009D3B85">
        <w:rPr>
          <w:rFonts w:ascii="Arial" w:hAnsi="Arial" w:cs="Arial"/>
        </w:rPr>
        <w:t>based suppliers, equating to £42 million invested locally and supporting a place</w:t>
      </w:r>
      <w:r w:rsidRPr="009D3B85">
        <w:rPr>
          <w:rFonts w:ascii="Cambria Math" w:hAnsi="Cambria Math" w:cs="Cambria Math"/>
        </w:rPr>
        <w:t>‑</w:t>
      </w:r>
      <w:r w:rsidRPr="009D3B85">
        <w:rPr>
          <w:rFonts w:ascii="Arial" w:hAnsi="Arial" w:cs="Arial"/>
        </w:rPr>
        <w:t>based approach to contracting.</w:t>
      </w:r>
    </w:p>
    <w:p w14:paraId="1C1421A0" w14:textId="77777777" w:rsidR="007B2E38" w:rsidRPr="009D3B85" w:rsidRDefault="007B2E38" w:rsidP="00B369C7">
      <w:pPr>
        <w:jc w:val="both"/>
        <w:rPr>
          <w:rFonts w:ascii="Arial" w:hAnsi="Arial" w:cs="Arial"/>
        </w:rPr>
      </w:pPr>
      <w:r w:rsidRPr="009D3B85">
        <w:rPr>
          <w:rFonts w:ascii="Arial" w:hAnsi="Arial" w:cs="Arial"/>
        </w:rPr>
        <w:lastRenderedPageBreak/>
        <w:t>A Social Value Tracker was developed to manage and monitor supplier commitments, supported by enhanced reporting through a Power BI dashboard. This has improved visibility of outcomes aligned to the five social value priorities set out in the Community and Neighbourhood Development Strategy. During 2024/25, 41 social value outcomes were secured through the supply chain.</w:t>
      </w:r>
    </w:p>
    <w:p w14:paraId="4B5ABA43" w14:textId="6A92054A" w:rsidR="007B2E38" w:rsidRPr="009D3B85" w:rsidRDefault="007B2E38" w:rsidP="00B369C7">
      <w:pPr>
        <w:jc w:val="both"/>
        <w:rPr>
          <w:rFonts w:ascii="Arial" w:hAnsi="Arial" w:cs="Arial"/>
        </w:rPr>
      </w:pPr>
      <w:r w:rsidRPr="009D3B85">
        <w:rPr>
          <w:rFonts w:ascii="Arial" w:hAnsi="Arial" w:cs="Arial"/>
        </w:rPr>
        <w:t xml:space="preserve">Social value brokerage has also been strengthened. Following soft market testing, </w:t>
      </w:r>
      <w:proofErr w:type="spellStart"/>
      <w:r w:rsidRPr="009D3B85">
        <w:rPr>
          <w:rFonts w:ascii="Arial" w:hAnsi="Arial" w:cs="Arial"/>
        </w:rPr>
        <w:t>Goodsted</w:t>
      </w:r>
      <w:proofErr w:type="spellEnd"/>
      <w:r w:rsidRPr="009D3B85">
        <w:rPr>
          <w:rFonts w:ascii="Arial" w:hAnsi="Arial" w:cs="Arial"/>
        </w:rPr>
        <w:t xml:space="preserve"> </w:t>
      </w:r>
      <w:r w:rsidR="00D15ABF">
        <w:rPr>
          <w:rFonts w:ascii="Arial" w:hAnsi="Arial" w:cs="Arial"/>
        </w:rPr>
        <w:t>have been</w:t>
      </w:r>
      <w:r w:rsidRPr="009D3B85">
        <w:rPr>
          <w:rFonts w:ascii="Arial" w:hAnsi="Arial" w:cs="Arial"/>
        </w:rPr>
        <w:t xml:space="preserve"> appointed to provide brokerage and measurement support, enabling local organisations and suppliers to collaborate more effectively on social value projects.</w:t>
      </w:r>
    </w:p>
    <w:p w14:paraId="72A86C96" w14:textId="299FDB5A" w:rsidR="007B2E38" w:rsidRPr="009D3B85" w:rsidRDefault="00E80F04" w:rsidP="00B369C7">
      <w:pPr>
        <w:pStyle w:val="Heading2"/>
        <w:jc w:val="both"/>
        <w:rPr>
          <w:rFonts w:ascii="Arial" w:hAnsi="Arial" w:cs="Arial"/>
          <w:color w:val="auto"/>
          <w:sz w:val="22"/>
          <w:szCs w:val="22"/>
        </w:rPr>
      </w:pPr>
      <w:r>
        <w:rPr>
          <w:rFonts w:ascii="Arial" w:hAnsi="Arial" w:cs="Arial"/>
          <w:color w:val="auto"/>
          <w:sz w:val="22"/>
          <w:szCs w:val="22"/>
        </w:rPr>
        <w:t xml:space="preserve">4 </w:t>
      </w:r>
      <w:r w:rsidR="007B2E38" w:rsidRPr="009D3B85">
        <w:rPr>
          <w:rFonts w:ascii="Arial" w:hAnsi="Arial" w:cs="Arial"/>
          <w:color w:val="auto"/>
          <w:sz w:val="22"/>
          <w:szCs w:val="22"/>
        </w:rPr>
        <w:t xml:space="preserve">We increase customer influence on VFM; engaging and informing customers, involved in VFM decision making and encouraging </w:t>
      </w:r>
      <w:proofErr w:type="gramStart"/>
      <w:r w:rsidR="007B2E38" w:rsidRPr="009D3B85">
        <w:rPr>
          <w:rFonts w:ascii="Arial" w:hAnsi="Arial" w:cs="Arial"/>
          <w:color w:val="auto"/>
          <w:sz w:val="22"/>
          <w:szCs w:val="22"/>
        </w:rPr>
        <w:t>scrutiny;</w:t>
      </w:r>
      <w:proofErr w:type="gramEnd"/>
    </w:p>
    <w:p w14:paraId="425AA4F0" w14:textId="77777777" w:rsidR="007B2E38" w:rsidRPr="009D3B85" w:rsidRDefault="007B2E38" w:rsidP="00B369C7">
      <w:pPr>
        <w:jc w:val="both"/>
        <w:rPr>
          <w:rFonts w:ascii="Arial" w:hAnsi="Arial" w:cs="Arial"/>
        </w:rPr>
      </w:pPr>
      <w:r w:rsidRPr="009D3B85">
        <w:rPr>
          <w:rFonts w:ascii="Arial" w:hAnsi="Arial" w:cs="Arial"/>
        </w:rPr>
        <w:t>Customer engagement was a key priority during the strategy period, ensuring customer voice informed value for money decisions. The number of procurement volunteer opportunities available to customers increased from six to fifteen, broadening involvement in key decision</w:t>
      </w:r>
      <w:r w:rsidRPr="009D3B85">
        <w:rPr>
          <w:rFonts w:ascii="Cambria Math" w:hAnsi="Cambria Math" w:cs="Cambria Math"/>
        </w:rPr>
        <w:t>‑</w:t>
      </w:r>
      <w:r w:rsidRPr="009D3B85">
        <w:rPr>
          <w:rFonts w:ascii="Arial" w:hAnsi="Arial" w:cs="Arial"/>
        </w:rPr>
        <w:t>making processes.</w:t>
      </w:r>
    </w:p>
    <w:p w14:paraId="2A765B23" w14:textId="77777777" w:rsidR="007B2E38" w:rsidRPr="009D3B85" w:rsidRDefault="007B2E38" w:rsidP="00B369C7">
      <w:pPr>
        <w:jc w:val="both"/>
        <w:rPr>
          <w:rFonts w:ascii="Arial" w:hAnsi="Arial" w:cs="Arial"/>
        </w:rPr>
      </w:pPr>
      <w:r w:rsidRPr="009D3B85">
        <w:rPr>
          <w:rFonts w:ascii="Arial" w:hAnsi="Arial" w:cs="Arial"/>
        </w:rPr>
        <w:t xml:space="preserve">A volunteer service </w:t>
      </w:r>
      <w:proofErr w:type="gramStart"/>
      <w:r w:rsidRPr="009D3B85">
        <w:rPr>
          <w:rFonts w:ascii="Arial" w:hAnsi="Arial" w:cs="Arial"/>
        </w:rPr>
        <w:t>inspectors</w:t>
      </w:r>
      <w:proofErr w:type="gramEnd"/>
      <w:r w:rsidRPr="009D3B85">
        <w:rPr>
          <w:rFonts w:ascii="Arial" w:hAnsi="Arial" w:cs="Arial"/>
        </w:rPr>
        <w:t xml:space="preserve"> group was established in collaboration with the Voids Team, enabling customers to assess the quality and standards of void repairs and maintenance. Monthly meetings between volunteers, contract managers, and operational teams support continuous improvement.</w:t>
      </w:r>
    </w:p>
    <w:p w14:paraId="1993204A" w14:textId="77777777" w:rsidR="007B2E38" w:rsidRPr="009D3B85" w:rsidRDefault="007B2E38" w:rsidP="00B369C7">
      <w:pPr>
        <w:jc w:val="both"/>
        <w:rPr>
          <w:rFonts w:ascii="Arial" w:hAnsi="Arial" w:cs="Arial"/>
        </w:rPr>
      </w:pPr>
      <w:r w:rsidRPr="009D3B85">
        <w:rPr>
          <w:rFonts w:ascii="Arial" w:hAnsi="Arial" w:cs="Arial"/>
        </w:rPr>
        <w:t>Tenant Satisfaction Measures were enhanced in 2024/25 to include a specific question on value for money. Of the 2,590 responses received, 75.5% of customers reported that they felt they received value for money for the rent they pay.</w:t>
      </w:r>
    </w:p>
    <w:p w14:paraId="3C4A70CE" w14:textId="77777777" w:rsidR="007B2E38" w:rsidRPr="009D3B85" w:rsidRDefault="007B2E38" w:rsidP="00B369C7">
      <w:pPr>
        <w:jc w:val="both"/>
        <w:rPr>
          <w:rFonts w:ascii="Arial" w:hAnsi="Arial" w:cs="Arial"/>
        </w:rPr>
      </w:pPr>
      <w:r w:rsidRPr="009D3B85">
        <w:rPr>
          <w:rFonts w:ascii="Arial" w:hAnsi="Arial" w:cs="Arial"/>
        </w:rPr>
        <w:t>Customer feedback is now reviewed by the customer analytics team ahead of service redesign and procurement activity, ensuring learning from customer insight informs future decision</w:t>
      </w:r>
      <w:r w:rsidRPr="009D3B85">
        <w:rPr>
          <w:rFonts w:ascii="Cambria Math" w:hAnsi="Cambria Math" w:cs="Cambria Math"/>
        </w:rPr>
        <w:t>‑</w:t>
      </w:r>
      <w:r w:rsidRPr="009D3B85">
        <w:rPr>
          <w:rFonts w:ascii="Arial" w:hAnsi="Arial" w:cs="Arial"/>
        </w:rPr>
        <w:t>making.</w:t>
      </w:r>
    </w:p>
    <w:p w14:paraId="0ED651FA" w14:textId="726C842D" w:rsidR="007B2E38" w:rsidRPr="009D3B85" w:rsidRDefault="00E80F04" w:rsidP="00B369C7">
      <w:pPr>
        <w:pStyle w:val="Heading2"/>
        <w:jc w:val="both"/>
        <w:rPr>
          <w:rFonts w:ascii="Arial" w:hAnsi="Arial" w:cs="Arial"/>
          <w:color w:val="auto"/>
          <w:sz w:val="22"/>
          <w:szCs w:val="22"/>
        </w:rPr>
      </w:pPr>
      <w:r>
        <w:rPr>
          <w:rFonts w:ascii="Arial" w:hAnsi="Arial" w:cs="Arial"/>
          <w:color w:val="auto"/>
          <w:sz w:val="22"/>
          <w:szCs w:val="22"/>
        </w:rPr>
        <w:t xml:space="preserve">5 </w:t>
      </w:r>
      <w:r w:rsidR="007B2E38" w:rsidRPr="009D3B85">
        <w:rPr>
          <w:rFonts w:ascii="Arial" w:hAnsi="Arial" w:cs="Arial"/>
          <w:color w:val="auto"/>
          <w:sz w:val="22"/>
          <w:szCs w:val="22"/>
        </w:rPr>
        <w:t xml:space="preserve">We continuously develop our VFM </w:t>
      </w:r>
      <w:proofErr w:type="gramStart"/>
      <w:r w:rsidR="007B2E38" w:rsidRPr="009D3B85">
        <w:rPr>
          <w:rFonts w:ascii="Arial" w:hAnsi="Arial" w:cs="Arial"/>
          <w:color w:val="auto"/>
          <w:sz w:val="22"/>
          <w:szCs w:val="22"/>
        </w:rPr>
        <w:t>culture;</w:t>
      </w:r>
      <w:proofErr w:type="gramEnd"/>
      <w:r w:rsidR="007B2E38" w:rsidRPr="009D3B85">
        <w:rPr>
          <w:rFonts w:ascii="Arial" w:hAnsi="Arial" w:cs="Arial"/>
          <w:color w:val="auto"/>
          <w:sz w:val="22"/>
          <w:szCs w:val="22"/>
        </w:rPr>
        <w:t xml:space="preserve"> improving colleague understanding, encouraging ideas and gaining benefit from colleague feedback</w:t>
      </w:r>
    </w:p>
    <w:p w14:paraId="4F138DB4" w14:textId="77777777" w:rsidR="007B2E38" w:rsidRPr="009D3B85" w:rsidRDefault="007B2E38" w:rsidP="00B369C7">
      <w:pPr>
        <w:jc w:val="both"/>
        <w:rPr>
          <w:rFonts w:ascii="Arial" w:hAnsi="Arial" w:cs="Arial"/>
        </w:rPr>
      </w:pPr>
      <w:r w:rsidRPr="009D3B85">
        <w:rPr>
          <w:rFonts w:ascii="Arial" w:hAnsi="Arial" w:cs="Arial"/>
        </w:rPr>
        <w:t>Colleague engagement has been central to embedding a strong value for money culture. The VFM Steering Group expanded to include representation from every directorate, with 17 colleagues actively contributing to initiatives and decision</w:t>
      </w:r>
      <w:r w:rsidRPr="009D3B85">
        <w:rPr>
          <w:rFonts w:ascii="Cambria Math" w:hAnsi="Cambria Math" w:cs="Cambria Math"/>
        </w:rPr>
        <w:t>‑</w:t>
      </w:r>
      <w:r w:rsidRPr="009D3B85">
        <w:rPr>
          <w:rFonts w:ascii="Arial" w:hAnsi="Arial" w:cs="Arial"/>
        </w:rPr>
        <w:t>making.</w:t>
      </w:r>
    </w:p>
    <w:p w14:paraId="3C3020D6" w14:textId="77777777" w:rsidR="007B2E38" w:rsidRPr="009D3B85" w:rsidRDefault="007B2E38" w:rsidP="00B369C7">
      <w:pPr>
        <w:jc w:val="both"/>
        <w:rPr>
          <w:rFonts w:ascii="Arial" w:hAnsi="Arial" w:cs="Arial"/>
        </w:rPr>
      </w:pPr>
      <w:r w:rsidRPr="009D3B85">
        <w:rPr>
          <w:rFonts w:ascii="Arial" w:hAnsi="Arial" w:cs="Arial"/>
        </w:rPr>
        <w:t>Two VFM roadshows were delivered during summer 2025, generating strong engagement and insight. In total, 201 ideas were submitted by colleagues, informing both immediate improvements and longer</w:t>
      </w:r>
      <w:r w:rsidRPr="009D3B85">
        <w:rPr>
          <w:rFonts w:ascii="Cambria Math" w:hAnsi="Cambria Math" w:cs="Cambria Math"/>
        </w:rPr>
        <w:t>‑</w:t>
      </w:r>
      <w:r w:rsidRPr="009D3B85">
        <w:rPr>
          <w:rFonts w:ascii="Arial" w:hAnsi="Arial" w:cs="Arial"/>
        </w:rPr>
        <w:t>term cultural change.</w:t>
      </w:r>
    </w:p>
    <w:p w14:paraId="1D68818B" w14:textId="77777777" w:rsidR="007B2E38" w:rsidRPr="009D3B85" w:rsidRDefault="007B2E38" w:rsidP="00B369C7">
      <w:pPr>
        <w:jc w:val="both"/>
        <w:rPr>
          <w:rFonts w:ascii="Arial" w:hAnsi="Arial" w:cs="Arial"/>
        </w:rPr>
      </w:pPr>
      <w:r w:rsidRPr="009D3B85">
        <w:rPr>
          <w:rFonts w:ascii="Arial" w:hAnsi="Arial" w:cs="Arial"/>
        </w:rPr>
        <w:t>An ideas box was introduced to enable colleagues to submit proposals for improving efficiency and service quality. Fifty ideas have been received to date, with three progressing through initial triage for implementation. As part of the refreshed strategy, this has been rebranded to align with the organisation’s more commercial approach.</w:t>
      </w:r>
    </w:p>
    <w:p w14:paraId="376E01EB" w14:textId="77777777" w:rsidR="00B369C7" w:rsidRDefault="00B369C7" w:rsidP="007B2E38">
      <w:pPr>
        <w:pStyle w:val="Heading2"/>
        <w:rPr>
          <w:rFonts w:ascii="Arial" w:hAnsi="Arial" w:cs="Arial"/>
          <w:color w:val="auto"/>
          <w:sz w:val="22"/>
          <w:szCs w:val="22"/>
        </w:rPr>
      </w:pPr>
    </w:p>
    <w:p w14:paraId="1A15B4D1" w14:textId="77777777" w:rsidR="00B369C7" w:rsidRDefault="00B369C7" w:rsidP="007B2E38">
      <w:pPr>
        <w:pStyle w:val="Heading2"/>
        <w:rPr>
          <w:rFonts w:ascii="Arial" w:hAnsi="Arial" w:cs="Arial"/>
          <w:color w:val="auto"/>
          <w:sz w:val="22"/>
          <w:szCs w:val="22"/>
        </w:rPr>
      </w:pPr>
    </w:p>
    <w:p w14:paraId="761CD06A" w14:textId="77777777" w:rsidR="00B369C7" w:rsidRDefault="00B369C7" w:rsidP="007B2E38">
      <w:pPr>
        <w:pStyle w:val="Heading2"/>
        <w:rPr>
          <w:rFonts w:ascii="Arial" w:hAnsi="Arial" w:cs="Arial"/>
          <w:color w:val="auto"/>
          <w:sz w:val="22"/>
          <w:szCs w:val="22"/>
        </w:rPr>
      </w:pPr>
    </w:p>
    <w:p w14:paraId="1ECABB7C" w14:textId="77777777" w:rsidR="00B369C7" w:rsidRPr="00B369C7" w:rsidRDefault="00B369C7" w:rsidP="00B369C7">
      <w:pPr>
        <w:rPr>
          <w:lang w:val="en-US"/>
        </w:rPr>
      </w:pPr>
    </w:p>
    <w:sectPr w:rsidR="00B369C7" w:rsidRPr="00B369C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8558" w14:textId="77777777" w:rsidR="00BC4DE8" w:rsidRDefault="00BC4DE8" w:rsidP="00A719C1">
      <w:pPr>
        <w:spacing w:after="0" w:line="240" w:lineRule="auto"/>
      </w:pPr>
      <w:r>
        <w:separator/>
      </w:r>
    </w:p>
  </w:endnote>
  <w:endnote w:type="continuationSeparator" w:id="0">
    <w:p w14:paraId="53444FCC" w14:textId="77777777" w:rsidR="00BC4DE8" w:rsidRDefault="00BC4DE8" w:rsidP="00A7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978849"/>
      <w:docPartObj>
        <w:docPartGallery w:val="Page Numbers (Bottom of Page)"/>
        <w:docPartUnique/>
      </w:docPartObj>
    </w:sdtPr>
    <w:sdtEndPr>
      <w:rPr>
        <w:noProof/>
      </w:rPr>
    </w:sdtEndPr>
    <w:sdtContent>
      <w:p w14:paraId="41A2535E" w14:textId="3DCE5500" w:rsidR="00ED5974" w:rsidRDefault="00ED5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C9BA7" w14:textId="77777777" w:rsidR="00ED5974" w:rsidRDefault="00ED5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EA30" w14:textId="77777777" w:rsidR="00BC4DE8" w:rsidRDefault="00BC4DE8" w:rsidP="00A719C1">
      <w:pPr>
        <w:spacing w:after="0" w:line="240" w:lineRule="auto"/>
      </w:pPr>
      <w:r>
        <w:separator/>
      </w:r>
    </w:p>
  </w:footnote>
  <w:footnote w:type="continuationSeparator" w:id="0">
    <w:p w14:paraId="2445634A" w14:textId="77777777" w:rsidR="00BC4DE8" w:rsidRDefault="00BC4DE8" w:rsidP="00A71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8FE"/>
    <w:multiLevelType w:val="hybridMultilevel"/>
    <w:tmpl w:val="677A3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262F94"/>
    <w:multiLevelType w:val="hybridMultilevel"/>
    <w:tmpl w:val="0ABE92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2B6918"/>
    <w:multiLevelType w:val="hybridMultilevel"/>
    <w:tmpl w:val="B8B0C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9C2BC7"/>
    <w:multiLevelType w:val="hybridMultilevel"/>
    <w:tmpl w:val="4AD4F8D4"/>
    <w:lvl w:ilvl="0" w:tplc="793C747A">
      <w:start w:val="9"/>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6D5BDF"/>
    <w:multiLevelType w:val="hybridMultilevel"/>
    <w:tmpl w:val="7C68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B6FA4"/>
    <w:multiLevelType w:val="hybridMultilevel"/>
    <w:tmpl w:val="8D20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427DD"/>
    <w:multiLevelType w:val="hybridMultilevel"/>
    <w:tmpl w:val="89E0E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ED1D7F"/>
    <w:multiLevelType w:val="hybridMultilevel"/>
    <w:tmpl w:val="95D23FB6"/>
    <w:lvl w:ilvl="0" w:tplc="AC8ABF44">
      <w:start w:val="1"/>
      <w:numFmt w:val="bullet"/>
      <w:lvlText w:val="•"/>
      <w:lvlJc w:val="left"/>
      <w:pPr>
        <w:tabs>
          <w:tab w:val="num" w:pos="720"/>
        </w:tabs>
        <w:ind w:left="720" w:hanging="360"/>
      </w:pPr>
      <w:rPr>
        <w:rFonts w:ascii="Arial" w:hAnsi="Arial" w:hint="default"/>
      </w:rPr>
    </w:lvl>
    <w:lvl w:ilvl="1" w:tplc="10B8D348" w:tentative="1">
      <w:start w:val="1"/>
      <w:numFmt w:val="bullet"/>
      <w:lvlText w:val="•"/>
      <w:lvlJc w:val="left"/>
      <w:pPr>
        <w:tabs>
          <w:tab w:val="num" w:pos="1440"/>
        </w:tabs>
        <w:ind w:left="1440" w:hanging="360"/>
      </w:pPr>
      <w:rPr>
        <w:rFonts w:ascii="Arial" w:hAnsi="Arial" w:hint="default"/>
      </w:rPr>
    </w:lvl>
    <w:lvl w:ilvl="2" w:tplc="32928BB2" w:tentative="1">
      <w:start w:val="1"/>
      <w:numFmt w:val="bullet"/>
      <w:lvlText w:val="•"/>
      <w:lvlJc w:val="left"/>
      <w:pPr>
        <w:tabs>
          <w:tab w:val="num" w:pos="2160"/>
        </w:tabs>
        <w:ind w:left="2160" w:hanging="360"/>
      </w:pPr>
      <w:rPr>
        <w:rFonts w:ascii="Arial" w:hAnsi="Arial" w:hint="default"/>
      </w:rPr>
    </w:lvl>
    <w:lvl w:ilvl="3" w:tplc="B716382E" w:tentative="1">
      <w:start w:val="1"/>
      <w:numFmt w:val="bullet"/>
      <w:lvlText w:val="•"/>
      <w:lvlJc w:val="left"/>
      <w:pPr>
        <w:tabs>
          <w:tab w:val="num" w:pos="2880"/>
        </w:tabs>
        <w:ind w:left="2880" w:hanging="360"/>
      </w:pPr>
      <w:rPr>
        <w:rFonts w:ascii="Arial" w:hAnsi="Arial" w:hint="default"/>
      </w:rPr>
    </w:lvl>
    <w:lvl w:ilvl="4" w:tplc="9E1049D2" w:tentative="1">
      <w:start w:val="1"/>
      <w:numFmt w:val="bullet"/>
      <w:lvlText w:val="•"/>
      <w:lvlJc w:val="left"/>
      <w:pPr>
        <w:tabs>
          <w:tab w:val="num" w:pos="3600"/>
        </w:tabs>
        <w:ind w:left="3600" w:hanging="360"/>
      </w:pPr>
      <w:rPr>
        <w:rFonts w:ascii="Arial" w:hAnsi="Arial" w:hint="default"/>
      </w:rPr>
    </w:lvl>
    <w:lvl w:ilvl="5" w:tplc="5A8869D6" w:tentative="1">
      <w:start w:val="1"/>
      <w:numFmt w:val="bullet"/>
      <w:lvlText w:val="•"/>
      <w:lvlJc w:val="left"/>
      <w:pPr>
        <w:tabs>
          <w:tab w:val="num" w:pos="4320"/>
        </w:tabs>
        <w:ind w:left="4320" w:hanging="360"/>
      </w:pPr>
      <w:rPr>
        <w:rFonts w:ascii="Arial" w:hAnsi="Arial" w:hint="default"/>
      </w:rPr>
    </w:lvl>
    <w:lvl w:ilvl="6" w:tplc="BB66C874" w:tentative="1">
      <w:start w:val="1"/>
      <w:numFmt w:val="bullet"/>
      <w:lvlText w:val="•"/>
      <w:lvlJc w:val="left"/>
      <w:pPr>
        <w:tabs>
          <w:tab w:val="num" w:pos="5040"/>
        </w:tabs>
        <w:ind w:left="5040" w:hanging="360"/>
      </w:pPr>
      <w:rPr>
        <w:rFonts w:ascii="Arial" w:hAnsi="Arial" w:hint="default"/>
      </w:rPr>
    </w:lvl>
    <w:lvl w:ilvl="7" w:tplc="7F6CF2CA" w:tentative="1">
      <w:start w:val="1"/>
      <w:numFmt w:val="bullet"/>
      <w:lvlText w:val="•"/>
      <w:lvlJc w:val="left"/>
      <w:pPr>
        <w:tabs>
          <w:tab w:val="num" w:pos="5760"/>
        </w:tabs>
        <w:ind w:left="5760" w:hanging="360"/>
      </w:pPr>
      <w:rPr>
        <w:rFonts w:ascii="Arial" w:hAnsi="Arial" w:hint="default"/>
      </w:rPr>
    </w:lvl>
    <w:lvl w:ilvl="8" w:tplc="AFD069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9E68FE"/>
    <w:multiLevelType w:val="hybridMultilevel"/>
    <w:tmpl w:val="633C6B6E"/>
    <w:lvl w:ilvl="0" w:tplc="BBDA10EA">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4E20B9"/>
    <w:multiLevelType w:val="hybridMultilevel"/>
    <w:tmpl w:val="28FEE130"/>
    <w:lvl w:ilvl="0" w:tplc="B2C84E0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B2596"/>
    <w:multiLevelType w:val="hybridMultilevel"/>
    <w:tmpl w:val="BC323B7C"/>
    <w:lvl w:ilvl="0" w:tplc="D14ABF72">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4102AA"/>
    <w:multiLevelType w:val="hybridMultilevel"/>
    <w:tmpl w:val="D9E85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6131C"/>
    <w:multiLevelType w:val="hybridMultilevel"/>
    <w:tmpl w:val="AD3C79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474EDE"/>
    <w:multiLevelType w:val="multilevel"/>
    <w:tmpl w:val="BF7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1C0683"/>
    <w:multiLevelType w:val="hybridMultilevel"/>
    <w:tmpl w:val="DC4C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00778"/>
    <w:multiLevelType w:val="hybridMultilevel"/>
    <w:tmpl w:val="883A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F314A"/>
    <w:multiLevelType w:val="hybridMultilevel"/>
    <w:tmpl w:val="94DE8C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A607A"/>
    <w:multiLevelType w:val="hybridMultilevel"/>
    <w:tmpl w:val="A606BF7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8C287B"/>
    <w:multiLevelType w:val="hybridMultilevel"/>
    <w:tmpl w:val="FEF6B0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E136DA8"/>
    <w:multiLevelType w:val="hybridMultilevel"/>
    <w:tmpl w:val="B13E1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3A5E7E"/>
    <w:multiLevelType w:val="hybridMultilevel"/>
    <w:tmpl w:val="978C3F9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1F3379"/>
    <w:multiLevelType w:val="hybridMultilevel"/>
    <w:tmpl w:val="2BFE29FA"/>
    <w:lvl w:ilvl="0" w:tplc="E82C5F8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64451A"/>
    <w:multiLevelType w:val="hybridMultilevel"/>
    <w:tmpl w:val="695ED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B0B08CA"/>
    <w:multiLevelType w:val="hybridMultilevel"/>
    <w:tmpl w:val="F1B20070"/>
    <w:lvl w:ilvl="0" w:tplc="21F64758">
      <w:start w:val="1"/>
      <w:numFmt w:val="bullet"/>
      <w:lvlText w:val=""/>
      <w:lvlJc w:val="left"/>
      <w:pPr>
        <w:ind w:left="720" w:hanging="360"/>
      </w:pPr>
      <w:rPr>
        <w:rFonts w:ascii="Symbol" w:hAnsi="Symbol" w:hint="default"/>
        <w:color w:val="000000" w:themeColor="text1"/>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13E1D"/>
    <w:multiLevelType w:val="multilevel"/>
    <w:tmpl w:val="56BE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8B7A51"/>
    <w:multiLevelType w:val="hybridMultilevel"/>
    <w:tmpl w:val="40A4686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2646B"/>
    <w:multiLevelType w:val="hybridMultilevel"/>
    <w:tmpl w:val="E4CE3AA0"/>
    <w:lvl w:ilvl="0" w:tplc="88CA280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B5143D"/>
    <w:multiLevelType w:val="hybridMultilevel"/>
    <w:tmpl w:val="31A2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AC1AAE"/>
    <w:multiLevelType w:val="multilevel"/>
    <w:tmpl w:val="83C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F56895"/>
    <w:multiLevelType w:val="hybridMultilevel"/>
    <w:tmpl w:val="0A34DE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180071"/>
    <w:multiLevelType w:val="hybridMultilevel"/>
    <w:tmpl w:val="5C545968"/>
    <w:lvl w:ilvl="0" w:tplc="1CA2BB5A">
      <w:start w:val="9"/>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6D3B45"/>
    <w:multiLevelType w:val="hybridMultilevel"/>
    <w:tmpl w:val="AD3C79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460983"/>
    <w:multiLevelType w:val="multilevel"/>
    <w:tmpl w:val="2298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A04CA4"/>
    <w:multiLevelType w:val="hybridMultilevel"/>
    <w:tmpl w:val="0BAE8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043755"/>
    <w:multiLevelType w:val="hybridMultilevel"/>
    <w:tmpl w:val="FB9877EA"/>
    <w:lvl w:ilvl="0" w:tplc="B02C392E">
      <w:start w:val="10"/>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2327321">
    <w:abstractNumId w:val="21"/>
  </w:num>
  <w:num w:numId="2" w16cid:durableId="1731003184">
    <w:abstractNumId w:val="10"/>
  </w:num>
  <w:num w:numId="3" w16cid:durableId="1924797324">
    <w:abstractNumId w:val="17"/>
  </w:num>
  <w:num w:numId="4" w16cid:durableId="1605847294">
    <w:abstractNumId w:val="27"/>
  </w:num>
  <w:num w:numId="5" w16cid:durableId="59405974">
    <w:abstractNumId w:val="26"/>
  </w:num>
  <w:num w:numId="6" w16cid:durableId="1542014439">
    <w:abstractNumId w:val="2"/>
  </w:num>
  <w:num w:numId="7" w16cid:durableId="1127546926">
    <w:abstractNumId w:val="28"/>
  </w:num>
  <w:num w:numId="8" w16cid:durableId="1916623823">
    <w:abstractNumId w:val="29"/>
  </w:num>
  <w:num w:numId="9" w16cid:durableId="869684484">
    <w:abstractNumId w:val="25"/>
  </w:num>
  <w:num w:numId="10" w16cid:durableId="1750273285">
    <w:abstractNumId w:val="7"/>
  </w:num>
  <w:num w:numId="11" w16cid:durableId="549465015">
    <w:abstractNumId w:val="23"/>
  </w:num>
  <w:num w:numId="12" w16cid:durableId="1604456379">
    <w:abstractNumId w:val="1"/>
  </w:num>
  <w:num w:numId="13" w16cid:durableId="1992521276">
    <w:abstractNumId w:val="6"/>
  </w:num>
  <w:num w:numId="14" w16cid:durableId="785123666">
    <w:abstractNumId w:val="31"/>
  </w:num>
  <w:num w:numId="15" w16cid:durableId="1678069889">
    <w:abstractNumId w:val="5"/>
  </w:num>
  <w:num w:numId="16" w16cid:durableId="67654489">
    <w:abstractNumId w:val="14"/>
  </w:num>
  <w:num w:numId="17" w16cid:durableId="1228762287">
    <w:abstractNumId w:val="22"/>
  </w:num>
  <w:num w:numId="18" w16cid:durableId="1677535684">
    <w:abstractNumId w:val="11"/>
  </w:num>
  <w:num w:numId="19" w16cid:durableId="10110457">
    <w:abstractNumId w:val="15"/>
  </w:num>
  <w:num w:numId="20" w16cid:durableId="1921596223">
    <w:abstractNumId w:val="3"/>
  </w:num>
  <w:num w:numId="21" w16cid:durableId="809057039">
    <w:abstractNumId w:val="18"/>
  </w:num>
  <w:num w:numId="22" w16cid:durableId="2119980052">
    <w:abstractNumId w:val="20"/>
  </w:num>
  <w:num w:numId="23" w16cid:durableId="890118593">
    <w:abstractNumId w:val="12"/>
  </w:num>
  <w:num w:numId="24" w16cid:durableId="506017614">
    <w:abstractNumId w:val="4"/>
  </w:num>
  <w:num w:numId="25" w16cid:durableId="607464995">
    <w:abstractNumId w:val="8"/>
  </w:num>
  <w:num w:numId="26" w16cid:durableId="124668256">
    <w:abstractNumId w:val="30"/>
  </w:num>
  <w:num w:numId="27" w16cid:durableId="1109546839">
    <w:abstractNumId w:val="16"/>
  </w:num>
  <w:num w:numId="28" w16cid:durableId="1182629619">
    <w:abstractNumId w:val="34"/>
  </w:num>
  <w:num w:numId="29" w16cid:durableId="456796619">
    <w:abstractNumId w:val="9"/>
  </w:num>
  <w:num w:numId="30" w16cid:durableId="133526882">
    <w:abstractNumId w:val="13"/>
  </w:num>
  <w:num w:numId="31" w16cid:durableId="1156727203">
    <w:abstractNumId w:val="32"/>
  </w:num>
  <w:num w:numId="32" w16cid:durableId="694114545">
    <w:abstractNumId w:val="19"/>
  </w:num>
  <w:num w:numId="33" w16cid:durableId="1919289407">
    <w:abstractNumId w:val="33"/>
  </w:num>
  <w:num w:numId="34" w16cid:durableId="1124084574">
    <w:abstractNumId w:val="0"/>
  </w:num>
  <w:num w:numId="35" w16cid:durableId="998847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AC"/>
    <w:rsid w:val="00002DF4"/>
    <w:rsid w:val="00003AB4"/>
    <w:rsid w:val="00003EB6"/>
    <w:rsid w:val="00005C81"/>
    <w:rsid w:val="0000604B"/>
    <w:rsid w:val="00007CBE"/>
    <w:rsid w:val="00010545"/>
    <w:rsid w:val="00012973"/>
    <w:rsid w:val="00014096"/>
    <w:rsid w:val="0001538D"/>
    <w:rsid w:val="000219D4"/>
    <w:rsid w:val="0002252A"/>
    <w:rsid w:val="000225A5"/>
    <w:rsid w:val="000301E1"/>
    <w:rsid w:val="000339F2"/>
    <w:rsid w:val="00033F70"/>
    <w:rsid w:val="00036CCE"/>
    <w:rsid w:val="0004368E"/>
    <w:rsid w:val="00044AD6"/>
    <w:rsid w:val="0005541B"/>
    <w:rsid w:val="00060CEA"/>
    <w:rsid w:val="00074018"/>
    <w:rsid w:val="00076988"/>
    <w:rsid w:val="000802BB"/>
    <w:rsid w:val="00080C0E"/>
    <w:rsid w:val="000848C2"/>
    <w:rsid w:val="00084AF0"/>
    <w:rsid w:val="00086F4F"/>
    <w:rsid w:val="000906BF"/>
    <w:rsid w:val="00091100"/>
    <w:rsid w:val="0009368B"/>
    <w:rsid w:val="00097B95"/>
    <w:rsid w:val="000A52D0"/>
    <w:rsid w:val="000A7DCE"/>
    <w:rsid w:val="000B198C"/>
    <w:rsid w:val="000B3BF6"/>
    <w:rsid w:val="000B5986"/>
    <w:rsid w:val="000B5B99"/>
    <w:rsid w:val="000C13E2"/>
    <w:rsid w:val="000C34B2"/>
    <w:rsid w:val="000C34BC"/>
    <w:rsid w:val="000C4640"/>
    <w:rsid w:val="000D11A0"/>
    <w:rsid w:val="000D2CE8"/>
    <w:rsid w:val="000D306D"/>
    <w:rsid w:val="000D47D5"/>
    <w:rsid w:val="000D4ACB"/>
    <w:rsid w:val="000D53DD"/>
    <w:rsid w:val="000D5532"/>
    <w:rsid w:val="000D7928"/>
    <w:rsid w:val="000E4FE8"/>
    <w:rsid w:val="000E52C0"/>
    <w:rsid w:val="000E5500"/>
    <w:rsid w:val="000F2858"/>
    <w:rsid w:val="000F2985"/>
    <w:rsid w:val="000F7258"/>
    <w:rsid w:val="00100986"/>
    <w:rsid w:val="00101B81"/>
    <w:rsid w:val="0010296E"/>
    <w:rsid w:val="001170B0"/>
    <w:rsid w:val="001202E4"/>
    <w:rsid w:val="00120AA7"/>
    <w:rsid w:val="001216D7"/>
    <w:rsid w:val="00123BE9"/>
    <w:rsid w:val="00130912"/>
    <w:rsid w:val="001311AC"/>
    <w:rsid w:val="00133458"/>
    <w:rsid w:val="00140673"/>
    <w:rsid w:val="0014080B"/>
    <w:rsid w:val="001410F1"/>
    <w:rsid w:val="00143BD4"/>
    <w:rsid w:val="00146BF9"/>
    <w:rsid w:val="0014775F"/>
    <w:rsid w:val="0015051C"/>
    <w:rsid w:val="00150AEA"/>
    <w:rsid w:val="00154018"/>
    <w:rsid w:val="00156532"/>
    <w:rsid w:val="00156FEF"/>
    <w:rsid w:val="00167A6B"/>
    <w:rsid w:val="001753F4"/>
    <w:rsid w:val="00177D9A"/>
    <w:rsid w:val="001828B0"/>
    <w:rsid w:val="00186AB4"/>
    <w:rsid w:val="00186D0E"/>
    <w:rsid w:val="00190C07"/>
    <w:rsid w:val="001930F4"/>
    <w:rsid w:val="00195104"/>
    <w:rsid w:val="00197384"/>
    <w:rsid w:val="00197BDC"/>
    <w:rsid w:val="001A4D17"/>
    <w:rsid w:val="001A7369"/>
    <w:rsid w:val="001B0868"/>
    <w:rsid w:val="001B219E"/>
    <w:rsid w:val="001B3BBF"/>
    <w:rsid w:val="001B3FB9"/>
    <w:rsid w:val="001B3FE8"/>
    <w:rsid w:val="001B4E5E"/>
    <w:rsid w:val="001B6C80"/>
    <w:rsid w:val="001C1CE0"/>
    <w:rsid w:val="001C2182"/>
    <w:rsid w:val="001D2A7C"/>
    <w:rsid w:val="001D494D"/>
    <w:rsid w:val="001D5B5B"/>
    <w:rsid w:val="001D6C0E"/>
    <w:rsid w:val="001E19D9"/>
    <w:rsid w:val="00201B5C"/>
    <w:rsid w:val="00204A37"/>
    <w:rsid w:val="0020645C"/>
    <w:rsid w:val="0021502A"/>
    <w:rsid w:val="00215597"/>
    <w:rsid w:val="002161E2"/>
    <w:rsid w:val="00223564"/>
    <w:rsid w:val="00223AC7"/>
    <w:rsid w:val="00230CCC"/>
    <w:rsid w:val="002447FD"/>
    <w:rsid w:val="00247A3E"/>
    <w:rsid w:val="00247E14"/>
    <w:rsid w:val="0025168E"/>
    <w:rsid w:val="0025189F"/>
    <w:rsid w:val="00252220"/>
    <w:rsid w:val="0025378C"/>
    <w:rsid w:val="00254E1B"/>
    <w:rsid w:val="00256968"/>
    <w:rsid w:val="002624CB"/>
    <w:rsid w:val="00264E11"/>
    <w:rsid w:val="00265E2D"/>
    <w:rsid w:val="002664D5"/>
    <w:rsid w:val="00270BE8"/>
    <w:rsid w:val="00270C61"/>
    <w:rsid w:val="0027121B"/>
    <w:rsid w:val="00271B49"/>
    <w:rsid w:val="0027621B"/>
    <w:rsid w:val="00286AA4"/>
    <w:rsid w:val="002A1E8C"/>
    <w:rsid w:val="002A3B7E"/>
    <w:rsid w:val="002C21C7"/>
    <w:rsid w:val="002C29D0"/>
    <w:rsid w:val="002C4C75"/>
    <w:rsid w:val="002C50FC"/>
    <w:rsid w:val="002C71DA"/>
    <w:rsid w:val="002D0F86"/>
    <w:rsid w:val="002D12FB"/>
    <w:rsid w:val="002D523E"/>
    <w:rsid w:val="002D5E90"/>
    <w:rsid w:val="002E3224"/>
    <w:rsid w:val="002E393F"/>
    <w:rsid w:val="002E484D"/>
    <w:rsid w:val="002F229E"/>
    <w:rsid w:val="002F5A48"/>
    <w:rsid w:val="003012B9"/>
    <w:rsid w:val="003016B5"/>
    <w:rsid w:val="00304139"/>
    <w:rsid w:val="003122AB"/>
    <w:rsid w:val="003147A8"/>
    <w:rsid w:val="003154FB"/>
    <w:rsid w:val="00316BF2"/>
    <w:rsid w:val="00327DCB"/>
    <w:rsid w:val="00332357"/>
    <w:rsid w:val="00334603"/>
    <w:rsid w:val="0033471C"/>
    <w:rsid w:val="00341B37"/>
    <w:rsid w:val="00344F66"/>
    <w:rsid w:val="003453BF"/>
    <w:rsid w:val="00352520"/>
    <w:rsid w:val="00360BFF"/>
    <w:rsid w:val="0036176D"/>
    <w:rsid w:val="003626D7"/>
    <w:rsid w:val="00364795"/>
    <w:rsid w:val="00365191"/>
    <w:rsid w:val="003668F6"/>
    <w:rsid w:val="00370C12"/>
    <w:rsid w:val="00371B56"/>
    <w:rsid w:val="0037344E"/>
    <w:rsid w:val="00381091"/>
    <w:rsid w:val="003811F1"/>
    <w:rsid w:val="00386097"/>
    <w:rsid w:val="003864A0"/>
    <w:rsid w:val="00393610"/>
    <w:rsid w:val="00394601"/>
    <w:rsid w:val="003952F6"/>
    <w:rsid w:val="003A1695"/>
    <w:rsid w:val="003A1DBF"/>
    <w:rsid w:val="003A356A"/>
    <w:rsid w:val="003A5353"/>
    <w:rsid w:val="003A6508"/>
    <w:rsid w:val="003B04A0"/>
    <w:rsid w:val="003B1B7D"/>
    <w:rsid w:val="003B2618"/>
    <w:rsid w:val="003B284C"/>
    <w:rsid w:val="003B2B59"/>
    <w:rsid w:val="003B3D96"/>
    <w:rsid w:val="003C0953"/>
    <w:rsid w:val="003C6C4A"/>
    <w:rsid w:val="003D03E6"/>
    <w:rsid w:val="003D241D"/>
    <w:rsid w:val="003D7219"/>
    <w:rsid w:val="003E5CCB"/>
    <w:rsid w:val="003E633A"/>
    <w:rsid w:val="003E6F29"/>
    <w:rsid w:val="003F1889"/>
    <w:rsid w:val="003F3970"/>
    <w:rsid w:val="003F6B1B"/>
    <w:rsid w:val="003F74D8"/>
    <w:rsid w:val="003F77F4"/>
    <w:rsid w:val="00405A7C"/>
    <w:rsid w:val="00405EBD"/>
    <w:rsid w:val="00417BD5"/>
    <w:rsid w:val="00420E64"/>
    <w:rsid w:val="004212CD"/>
    <w:rsid w:val="00422556"/>
    <w:rsid w:val="004225C2"/>
    <w:rsid w:val="004239DB"/>
    <w:rsid w:val="004242B6"/>
    <w:rsid w:val="00424ADE"/>
    <w:rsid w:val="00427282"/>
    <w:rsid w:val="00432647"/>
    <w:rsid w:val="00432EFF"/>
    <w:rsid w:val="004353D8"/>
    <w:rsid w:val="00436248"/>
    <w:rsid w:val="00437089"/>
    <w:rsid w:val="00440BE6"/>
    <w:rsid w:val="00444319"/>
    <w:rsid w:val="00444E1C"/>
    <w:rsid w:val="004457A6"/>
    <w:rsid w:val="0044716D"/>
    <w:rsid w:val="004506B1"/>
    <w:rsid w:val="00451CA0"/>
    <w:rsid w:val="00453895"/>
    <w:rsid w:val="004678F6"/>
    <w:rsid w:val="00470410"/>
    <w:rsid w:val="00470526"/>
    <w:rsid w:val="00473406"/>
    <w:rsid w:val="00473520"/>
    <w:rsid w:val="0047365C"/>
    <w:rsid w:val="00473885"/>
    <w:rsid w:val="004748AA"/>
    <w:rsid w:val="00477355"/>
    <w:rsid w:val="0048036E"/>
    <w:rsid w:val="00482825"/>
    <w:rsid w:val="0048792D"/>
    <w:rsid w:val="00492A56"/>
    <w:rsid w:val="00493327"/>
    <w:rsid w:val="00495B65"/>
    <w:rsid w:val="00496125"/>
    <w:rsid w:val="004A607F"/>
    <w:rsid w:val="004B4CC7"/>
    <w:rsid w:val="004C62C8"/>
    <w:rsid w:val="004C6FAB"/>
    <w:rsid w:val="004E0890"/>
    <w:rsid w:val="004E16F3"/>
    <w:rsid w:val="004E4763"/>
    <w:rsid w:val="004F1B5A"/>
    <w:rsid w:val="004F270B"/>
    <w:rsid w:val="004F7B7F"/>
    <w:rsid w:val="005001B7"/>
    <w:rsid w:val="00500233"/>
    <w:rsid w:val="00503867"/>
    <w:rsid w:val="00503A30"/>
    <w:rsid w:val="00505938"/>
    <w:rsid w:val="0050622E"/>
    <w:rsid w:val="00506589"/>
    <w:rsid w:val="00506A6D"/>
    <w:rsid w:val="005102FB"/>
    <w:rsid w:val="00510866"/>
    <w:rsid w:val="00510FEC"/>
    <w:rsid w:val="00511B80"/>
    <w:rsid w:val="00512BA9"/>
    <w:rsid w:val="00513EA7"/>
    <w:rsid w:val="00524471"/>
    <w:rsid w:val="005279CB"/>
    <w:rsid w:val="00532E7B"/>
    <w:rsid w:val="005365E3"/>
    <w:rsid w:val="00537ABA"/>
    <w:rsid w:val="00540189"/>
    <w:rsid w:val="00544A69"/>
    <w:rsid w:val="00551F98"/>
    <w:rsid w:val="005574AB"/>
    <w:rsid w:val="005579E8"/>
    <w:rsid w:val="005666BA"/>
    <w:rsid w:val="005674DE"/>
    <w:rsid w:val="00576B61"/>
    <w:rsid w:val="0058427F"/>
    <w:rsid w:val="00587D08"/>
    <w:rsid w:val="005A3925"/>
    <w:rsid w:val="005B254D"/>
    <w:rsid w:val="005B262B"/>
    <w:rsid w:val="005B5022"/>
    <w:rsid w:val="005C17AB"/>
    <w:rsid w:val="005C1C2F"/>
    <w:rsid w:val="005C56A3"/>
    <w:rsid w:val="005C63BD"/>
    <w:rsid w:val="005C652B"/>
    <w:rsid w:val="005D0A56"/>
    <w:rsid w:val="005D0CCD"/>
    <w:rsid w:val="005E717F"/>
    <w:rsid w:val="005F01AA"/>
    <w:rsid w:val="005F099F"/>
    <w:rsid w:val="005F10BA"/>
    <w:rsid w:val="005F281B"/>
    <w:rsid w:val="005F6752"/>
    <w:rsid w:val="005F7E87"/>
    <w:rsid w:val="00606727"/>
    <w:rsid w:val="00610C6F"/>
    <w:rsid w:val="00610C96"/>
    <w:rsid w:val="006135DA"/>
    <w:rsid w:val="0061595E"/>
    <w:rsid w:val="00620B7D"/>
    <w:rsid w:val="00624B7B"/>
    <w:rsid w:val="006255E3"/>
    <w:rsid w:val="006322F9"/>
    <w:rsid w:val="00637CBB"/>
    <w:rsid w:val="0064090F"/>
    <w:rsid w:val="00641C12"/>
    <w:rsid w:val="00642463"/>
    <w:rsid w:val="00646CEC"/>
    <w:rsid w:val="00652628"/>
    <w:rsid w:val="00663C63"/>
    <w:rsid w:val="006649A2"/>
    <w:rsid w:val="00665296"/>
    <w:rsid w:val="00671658"/>
    <w:rsid w:val="0068040E"/>
    <w:rsid w:val="00684BB1"/>
    <w:rsid w:val="00696F96"/>
    <w:rsid w:val="00697320"/>
    <w:rsid w:val="00697CC3"/>
    <w:rsid w:val="006A143C"/>
    <w:rsid w:val="006A1D2A"/>
    <w:rsid w:val="006A5283"/>
    <w:rsid w:val="006B5F2F"/>
    <w:rsid w:val="006C4FAF"/>
    <w:rsid w:val="006C72A2"/>
    <w:rsid w:val="006D2990"/>
    <w:rsid w:val="006D4A7F"/>
    <w:rsid w:val="006D705B"/>
    <w:rsid w:val="006E68E1"/>
    <w:rsid w:val="006E7AB4"/>
    <w:rsid w:val="006E7E98"/>
    <w:rsid w:val="006F3EDA"/>
    <w:rsid w:val="00700975"/>
    <w:rsid w:val="00707500"/>
    <w:rsid w:val="00707AB1"/>
    <w:rsid w:val="00712E4A"/>
    <w:rsid w:val="00714630"/>
    <w:rsid w:val="00714E9D"/>
    <w:rsid w:val="00720A82"/>
    <w:rsid w:val="0072491C"/>
    <w:rsid w:val="00725742"/>
    <w:rsid w:val="00726B85"/>
    <w:rsid w:val="00731188"/>
    <w:rsid w:val="00731E1A"/>
    <w:rsid w:val="00734DFA"/>
    <w:rsid w:val="00735E7A"/>
    <w:rsid w:val="00736097"/>
    <w:rsid w:val="00740812"/>
    <w:rsid w:val="00740E2C"/>
    <w:rsid w:val="007413DB"/>
    <w:rsid w:val="0074259C"/>
    <w:rsid w:val="00744476"/>
    <w:rsid w:val="00746A2F"/>
    <w:rsid w:val="00747B0A"/>
    <w:rsid w:val="00752851"/>
    <w:rsid w:val="00753645"/>
    <w:rsid w:val="00755168"/>
    <w:rsid w:val="007559AB"/>
    <w:rsid w:val="00757EEA"/>
    <w:rsid w:val="00760387"/>
    <w:rsid w:val="00760C22"/>
    <w:rsid w:val="0076280F"/>
    <w:rsid w:val="007635C3"/>
    <w:rsid w:val="00764B89"/>
    <w:rsid w:val="00773371"/>
    <w:rsid w:val="007757FC"/>
    <w:rsid w:val="00775800"/>
    <w:rsid w:val="00775BFE"/>
    <w:rsid w:val="00781215"/>
    <w:rsid w:val="00781644"/>
    <w:rsid w:val="00790792"/>
    <w:rsid w:val="007927A0"/>
    <w:rsid w:val="007965C8"/>
    <w:rsid w:val="007A0237"/>
    <w:rsid w:val="007A6D83"/>
    <w:rsid w:val="007B2634"/>
    <w:rsid w:val="007B2E38"/>
    <w:rsid w:val="007B3C28"/>
    <w:rsid w:val="007B4218"/>
    <w:rsid w:val="007B50E6"/>
    <w:rsid w:val="007B603C"/>
    <w:rsid w:val="007C0135"/>
    <w:rsid w:val="007C5812"/>
    <w:rsid w:val="007C74EA"/>
    <w:rsid w:val="007D1180"/>
    <w:rsid w:val="007D4CBB"/>
    <w:rsid w:val="007D5251"/>
    <w:rsid w:val="007D65E0"/>
    <w:rsid w:val="007D704B"/>
    <w:rsid w:val="007E3D78"/>
    <w:rsid w:val="007F5CB6"/>
    <w:rsid w:val="00802EAC"/>
    <w:rsid w:val="008043C8"/>
    <w:rsid w:val="00804EC6"/>
    <w:rsid w:val="0080603E"/>
    <w:rsid w:val="00810331"/>
    <w:rsid w:val="00810A5B"/>
    <w:rsid w:val="00813052"/>
    <w:rsid w:val="00816951"/>
    <w:rsid w:val="008172ED"/>
    <w:rsid w:val="00823F1C"/>
    <w:rsid w:val="0082517C"/>
    <w:rsid w:val="00827198"/>
    <w:rsid w:val="00834422"/>
    <w:rsid w:val="00834F26"/>
    <w:rsid w:val="00842C5E"/>
    <w:rsid w:val="00850867"/>
    <w:rsid w:val="00851C04"/>
    <w:rsid w:val="008549D7"/>
    <w:rsid w:val="00856828"/>
    <w:rsid w:val="008603D8"/>
    <w:rsid w:val="008614FC"/>
    <w:rsid w:val="0086239F"/>
    <w:rsid w:val="00865A0B"/>
    <w:rsid w:val="008730DE"/>
    <w:rsid w:val="0087316C"/>
    <w:rsid w:val="008752CD"/>
    <w:rsid w:val="00875394"/>
    <w:rsid w:val="0088006C"/>
    <w:rsid w:val="00885988"/>
    <w:rsid w:val="00892370"/>
    <w:rsid w:val="0089602B"/>
    <w:rsid w:val="0089771E"/>
    <w:rsid w:val="00897CA5"/>
    <w:rsid w:val="008A0891"/>
    <w:rsid w:val="008A2334"/>
    <w:rsid w:val="008A76F6"/>
    <w:rsid w:val="008A7F55"/>
    <w:rsid w:val="008B07F9"/>
    <w:rsid w:val="008B7D95"/>
    <w:rsid w:val="008C7BCF"/>
    <w:rsid w:val="008D4D6B"/>
    <w:rsid w:val="008D5838"/>
    <w:rsid w:val="008F1B6F"/>
    <w:rsid w:val="008F1C70"/>
    <w:rsid w:val="008F625F"/>
    <w:rsid w:val="009021D1"/>
    <w:rsid w:val="009059A4"/>
    <w:rsid w:val="00910302"/>
    <w:rsid w:val="00911E0D"/>
    <w:rsid w:val="00915A47"/>
    <w:rsid w:val="00932ECD"/>
    <w:rsid w:val="009500A4"/>
    <w:rsid w:val="009543FC"/>
    <w:rsid w:val="00955757"/>
    <w:rsid w:val="00956117"/>
    <w:rsid w:val="00967C75"/>
    <w:rsid w:val="009701A5"/>
    <w:rsid w:val="009743E1"/>
    <w:rsid w:val="00976409"/>
    <w:rsid w:val="00982E3A"/>
    <w:rsid w:val="009838BE"/>
    <w:rsid w:val="00985189"/>
    <w:rsid w:val="009903B5"/>
    <w:rsid w:val="0099639F"/>
    <w:rsid w:val="009A1504"/>
    <w:rsid w:val="009A3648"/>
    <w:rsid w:val="009A4243"/>
    <w:rsid w:val="009B029A"/>
    <w:rsid w:val="009B5476"/>
    <w:rsid w:val="009C0B24"/>
    <w:rsid w:val="009C5FB7"/>
    <w:rsid w:val="009C62D5"/>
    <w:rsid w:val="009D08CD"/>
    <w:rsid w:val="009D2FEF"/>
    <w:rsid w:val="009D3B85"/>
    <w:rsid w:val="009D4FB0"/>
    <w:rsid w:val="009D69A8"/>
    <w:rsid w:val="009E487E"/>
    <w:rsid w:val="009E5AF6"/>
    <w:rsid w:val="009E6ACA"/>
    <w:rsid w:val="009F08F2"/>
    <w:rsid w:val="009F139C"/>
    <w:rsid w:val="009F4743"/>
    <w:rsid w:val="009F78BC"/>
    <w:rsid w:val="00A0159F"/>
    <w:rsid w:val="00A0164D"/>
    <w:rsid w:val="00A0210C"/>
    <w:rsid w:val="00A06B23"/>
    <w:rsid w:val="00A07CCA"/>
    <w:rsid w:val="00A1027E"/>
    <w:rsid w:val="00A11C84"/>
    <w:rsid w:val="00A151B4"/>
    <w:rsid w:val="00A206B1"/>
    <w:rsid w:val="00A23611"/>
    <w:rsid w:val="00A243B5"/>
    <w:rsid w:val="00A26540"/>
    <w:rsid w:val="00A332C3"/>
    <w:rsid w:val="00A34793"/>
    <w:rsid w:val="00A3573B"/>
    <w:rsid w:val="00A41356"/>
    <w:rsid w:val="00A42054"/>
    <w:rsid w:val="00A43BEA"/>
    <w:rsid w:val="00A45643"/>
    <w:rsid w:val="00A468CA"/>
    <w:rsid w:val="00A47600"/>
    <w:rsid w:val="00A50723"/>
    <w:rsid w:val="00A52063"/>
    <w:rsid w:val="00A55B4D"/>
    <w:rsid w:val="00A60330"/>
    <w:rsid w:val="00A607CA"/>
    <w:rsid w:val="00A60BA1"/>
    <w:rsid w:val="00A7014F"/>
    <w:rsid w:val="00A70595"/>
    <w:rsid w:val="00A719C1"/>
    <w:rsid w:val="00A72D30"/>
    <w:rsid w:val="00A7472B"/>
    <w:rsid w:val="00A75C4A"/>
    <w:rsid w:val="00A75D36"/>
    <w:rsid w:val="00A77645"/>
    <w:rsid w:val="00A80C46"/>
    <w:rsid w:val="00A81358"/>
    <w:rsid w:val="00A83FBD"/>
    <w:rsid w:val="00A85A48"/>
    <w:rsid w:val="00A87239"/>
    <w:rsid w:val="00A87FD3"/>
    <w:rsid w:val="00A92998"/>
    <w:rsid w:val="00A95659"/>
    <w:rsid w:val="00A9762B"/>
    <w:rsid w:val="00A977EB"/>
    <w:rsid w:val="00AA2831"/>
    <w:rsid w:val="00AA3C05"/>
    <w:rsid w:val="00AA5689"/>
    <w:rsid w:val="00AA5CA6"/>
    <w:rsid w:val="00AA5F1D"/>
    <w:rsid w:val="00AA6250"/>
    <w:rsid w:val="00AA6E25"/>
    <w:rsid w:val="00AB1D25"/>
    <w:rsid w:val="00AB1F94"/>
    <w:rsid w:val="00AB4F39"/>
    <w:rsid w:val="00AB5DB2"/>
    <w:rsid w:val="00AC05D4"/>
    <w:rsid w:val="00AD0D9B"/>
    <w:rsid w:val="00AD15D5"/>
    <w:rsid w:val="00AD17EC"/>
    <w:rsid w:val="00AD42C5"/>
    <w:rsid w:val="00AD6E37"/>
    <w:rsid w:val="00AD7202"/>
    <w:rsid w:val="00AD73D5"/>
    <w:rsid w:val="00AE25C4"/>
    <w:rsid w:val="00AE424D"/>
    <w:rsid w:val="00AE4B47"/>
    <w:rsid w:val="00AE76C9"/>
    <w:rsid w:val="00AF1EE5"/>
    <w:rsid w:val="00AF21B5"/>
    <w:rsid w:val="00AF2B94"/>
    <w:rsid w:val="00AF53A9"/>
    <w:rsid w:val="00B00DF2"/>
    <w:rsid w:val="00B03594"/>
    <w:rsid w:val="00B04F13"/>
    <w:rsid w:val="00B10E1C"/>
    <w:rsid w:val="00B13BD1"/>
    <w:rsid w:val="00B15C55"/>
    <w:rsid w:val="00B1621F"/>
    <w:rsid w:val="00B21070"/>
    <w:rsid w:val="00B21B15"/>
    <w:rsid w:val="00B3329F"/>
    <w:rsid w:val="00B35D9A"/>
    <w:rsid w:val="00B369C7"/>
    <w:rsid w:val="00B520B9"/>
    <w:rsid w:val="00B54D3C"/>
    <w:rsid w:val="00B57A7B"/>
    <w:rsid w:val="00B61883"/>
    <w:rsid w:val="00B6630D"/>
    <w:rsid w:val="00B66D3A"/>
    <w:rsid w:val="00B7368D"/>
    <w:rsid w:val="00B73F81"/>
    <w:rsid w:val="00B74DA3"/>
    <w:rsid w:val="00B771FD"/>
    <w:rsid w:val="00B91A6F"/>
    <w:rsid w:val="00B92327"/>
    <w:rsid w:val="00B93E35"/>
    <w:rsid w:val="00B94298"/>
    <w:rsid w:val="00BA3B4C"/>
    <w:rsid w:val="00BA778D"/>
    <w:rsid w:val="00BA7ED2"/>
    <w:rsid w:val="00BB1F5B"/>
    <w:rsid w:val="00BB2760"/>
    <w:rsid w:val="00BB7AEE"/>
    <w:rsid w:val="00BC0E20"/>
    <w:rsid w:val="00BC1154"/>
    <w:rsid w:val="00BC4234"/>
    <w:rsid w:val="00BC4DE8"/>
    <w:rsid w:val="00BD1B6D"/>
    <w:rsid w:val="00BD31BC"/>
    <w:rsid w:val="00BD3E3B"/>
    <w:rsid w:val="00BE0A23"/>
    <w:rsid w:val="00BE488E"/>
    <w:rsid w:val="00BF4411"/>
    <w:rsid w:val="00BF4C33"/>
    <w:rsid w:val="00BF4CF4"/>
    <w:rsid w:val="00BF5D87"/>
    <w:rsid w:val="00C01717"/>
    <w:rsid w:val="00C05CFD"/>
    <w:rsid w:val="00C076C6"/>
    <w:rsid w:val="00C11802"/>
    <w:rsid w:val="00C11FCE"/>
    <w:rsid w:val="00C125AA"/>
    <w:rsid w:val="00C20379"/>
    <w:rsid w:val="00C221F5"/>
    <w:rsid w:val="00C24BC1"/>
    <w:rsid w:val="00C358F3"/>
    <w:rsid w:val="00C44C0D"/>
    <w:rsid w:val="00C45E0B"/>
    <w:rsid w:val="00C504B4"/>
    <w:rsid w:val="00C51E94"/>
    <w:rsid w:val="00C53B29"/>
    <w:rsid w:val="00C57AF9"/>
    <w:rsid w:val="00C61545"/>
    <w:rsid w:val="00C63754"/>
    <w:rsid w:val="00C65A71"/>
    <w:rsid w:val="00C8137F"/>
    <w:rsid w:val="00C855AA"/>
    <w:rsid w:val="00C8655E"/>
    <w:rsid w:val="00C91515"/>
    <w:rsid w:val="00C925B4"/>
    <w:rsid w:val="00C9320D"/>
    <w:rsid w:val="00C94BC1"/>
    <w:rsid w:val="00CA2236"/>
    <w:rsid w:val="00CA5132"/>
    <w:rsid w:val="00CA7EBA"/>
    <w:rsid w:val="00CB0B05"/>
    <w:rsid w:val="00CB57AE"/>
    <w:rsid w:val="00CB6121"/>
    <w:rsid w:val="00CC0F21"/>
    <w:rsid w:val="00CC2F10"/>
    <w:rsid w:val="00CC4169"/>
    <w:rsid w:val="00CC7E12"/>
    <w:rsid w:val="00CD549B"/>
    <w:rsid w:val="00CD5FA8"/>
    <w:rsid w:val="00CD6A19"/>
    <w:rsid w:val="00CD7178"/>
    <w:rsid w:val="00CE0040"/>
    <w:rsid w:val="00CE2CFC"/>
    <w:rsid w:val="00CE4117"/>
    <w:rsid w:val="00CE4B43"/>
    <w:rsid w:val="00CF0921"/>
    <w:rsid w:val="00CF0FBC"/>
    <w:rsid w:val="00CF2D89"/>
    <w:rsid w:val="00CF494F"/>
    <w:rsid w:val="00D00EDC"/>
    <w:rsid w:val="00D029C5"/>
    <w:rsid w:val="00D03591"/>
    <w:rsid w:val="00D04331"/>
    <w:rsid w:val="00D04C8E"/>
    <w:rsid w:val="00D056CE"/>
    <w:rsid w:val="00D05C11"/>
    <w:rsid w:val="00D10144"/>
    <w:rsid w:val="00D15ABF"/>
    <w:rsid w:val="00D20ABF"/>
    <w:rsid w:val="00D22048"/>
    <w:rsid w:val="00D26CFC"/>
    <w:rsid w:val="00D325BE"/>
    <w:rsid w:val="00D347E8"/>
    <w:rsid w:val="00D36A3E"/>
    <w:rsid w:val="00D36A60"/>
    <w:rsid w:val="00D40293"/>
    <w:rsid w:val="00D4030E"/>
    <w:rsid w:val="00D419D3"/>
    <w:rsid w:val="00D46510"/>
    <w:rsid w:val="00D469A6"/>
    <w:rsid w:val="00D513D9"/>
    <w:rsid w:val="00D54C03"/>
    <w:rsid w:val="00D558F9"/>
    <w:rsid w:val="00D560B5"/>
    <w:rsid w:val="00D618B0"/>
    <w:rsid w:val="00D62148"/>
    <w:rsid w:val="00D6332C"/>
    <w:rsid w:val="00D71A28"/>
    <w:rsid w:val="00D71ADE"/>
    <w:rsid w:val="00D71B48"/>
    <w:rsid w:val="00D73378"/>
    <w:rsid w:val="00D73E9C"/>
    <w:rsid w:val="00D74B3D"/>
    <w:rsid w:val="00D7563E"/>
    <w:rsid w:val="00D7714B"/>
    <w:rsid w:val="00D8017B"/>
    <w:rsid w:val="00D82BC0"/>
    <w:rsid w:val="00D83BCF"/>
    <w:rsid w:val="00D85716"/>
    <w:rsid w:val="00D86BD6"/>
    <w:rsid w:val="00D86D7C"/>
    <w:rsid w:val="00D87E43"/>
    <w:rsid w:val="00D92726"/>
    <w:rsid w:val="00D92A53"/>
    <w:rsid w:val="00D941ED"/>
    <w:rsid w:val="00DA18B4"/>
    <w:rsid w:val="00DA225E"/>
    <w:rsid w:val="00DA64D4"/>
    <w:rsid w:val="00DA7883"/>
    <w:rsid w:val="00DA7D4B"/>
    <w:rsid w:val="00DB1B44"/>
    <w:rsid w:val="00DB51C4"/>
    <w:rsid w:val="00DB608E"/>
    <w:rsid w:val="00DC06D6"/>
    <w:rsid w:val="00DC1F3B"/>
    <w:rsid w:val="00DC72E4"/>
    <w:rsid w:val="00DC756E"/>
    <w:rsid w:val="00DE2BBC"/>
    <w:rsid w:val="00DE4659"/>
    <w:rsid w:val="00DE7794"/>
    <w:rsid w:val="00DF247A"/>
    <w:rsid w:val="00DF2846"/>
    <w:rsid w:val="00DF51CD"/>
    <w:rsid w:val="00DF7EB8"/>
    <w:rsid w:val="00E07AC4"/>
    <w:rsid w:val="00E12CB0"/>
    <w:rsid w:val="00E141F5"/>
    <w:rsid w:val="00E150C4"/>
    <w:rsid w:val="00E15306"/>
    <w:rsid w:val="00E17189"/>
    <w:rsid w:val="00E1751A"/>
    <w:rsid w:val="00E261D9"/>
    <w:rsid w:val="00E276A1"/>
    <w:rsid w:val="00E27F9A"/>
    <w:rsid w:val="00E305AF"/>
    <w:rsid w:val="00E30711"/>
    <w:rsid w:val="00E31060"/>
    <w:rsid w:val="00E348B3"/>
    <w:rsid w:val="00E41192"/>
    <w:rsid w:val="00E4322F"/>
    <w:rsid w:val="00E44D2D"/>
    <w:rsid w:val="00E44F98"/>
    <w:rsid w:val="00E508F8"/>
    <w:rsid w:val="00E5642A"/>
    <w:rsid w:val="00E6644E"/>
    <w:rsid w:val="00E74A43"/>
    <w:rsid w:val="00E76739"/>
    <w:rsid w:val="00E77593"/>
    <w:rsid w:val="00E80F04"/>
    <w:rsid w:val="00E90FA2"/>
    <w:rsid w:val="00E91AA1"/>
    <w:rsid w:val="00EB337A"/>
    <w:rsid w:val="00EC0E2E"/>
    <w:rsid w:val="00EC34DC"/>
    <w:rsid w:val="00EC6B31"/>
    <w:rsid w:val="00EC71C1"/>
    <w:rsid w:val="00ED18AA"/>
    <w:rsid w:val="00ED487E"/>
    <w:rsid w:val="00ED5974"/>
    <w:rsid w:val="00ED6144"/>
    <w:rsid w:val="00EE6140"/>
    <w:rsid w:val="00EE7526"/>
    <w:rsid w:val="00EF0802"/>
    <w:rsid w:val="00EF1427"/>
    <w:rsid w:val="00EF2E8C"/>
    <w:rsid w:val="00EF34EF"/>
    <w:rsid w:val="00EF43F7"/>
    <w:rsid w:val="00EF45D9"/>
    <w:rsid w:val="00F000F2"/>
    <w:rsid w:val="00F0071A"/>
    <w:rsid w:val="00F00CEA"/>
    <w:rsid w:val="00F0221F"/>
    <w:rsid w:val="00F06F0F"/>
    <w:rsid w:val="00F071DA"/>
    <w:rsid w:val="00F07EDA"/>
    <w:rsid w:val="00F10F30"/>
    <w:rsid w:val="00F22DA3"/>
    <w:rsid w:val="00F25226"/>
    <w:rsid w:val="00F306A6"/>
    <w:rsid w:val="00F3384D"/>
    <w:rsid w:val="00F43514"/>
    <w:rsid w:val="00F43A8F"/>
    <w:rsid w:val="00F43CC6"/>
    <w:rsid w:val="00F44DF9"/>
    <w:rsid w:val="00F50A80"/>
    <w:rsid w:val="00F521C3"/>
    <w:rsid w:val="00F55650"/>
    <w:rsid w:val="00F56DC8"/>
    <w:rsid w:val="00F57E28"/>
    <w:rsid w:val="00F60F11"/>
    <w:rsid w:val="00F645FC"/>
    <w:rsid w:val="00F65821"/>
    <w:rsid w:val="00F77813"/>
    <w:rsid w:val="00F847BF"/>
    <w:rsid w:val="00F903E7"/>
    <w:rsid w:val="00F9166E"/>
    <w:rsid w:val="00F94991"/>
    <w:rsid w:val="00FA25DD"/>
    <w:rsid w:val="00FA2AF9"/>
    <w:rsid w:val="00FA32C8"/>
    <w:rsid w:val="00FB01B3"/>
    <w:rsid w:val="00FB0FCB"/>
    <w:rsid w:val="00FB17B2"/>
    <w:rsid w:val="00FC0378"/>
    <w:rsid w:val="00FD07C6"/>
    <w:rsid w:val="00FD1317"/>
    <w:rsid w:val="00FD15B7"/>
    <w:rsid w:val="00FD2AB8"/>
    <w:rsid w:val="00FD3145"/>
    <w:rsid w:val="00FD4023"/>
    <w:rsid w:val="00FD69D6"/>
    <w:rsid w:val="00FE25C4"/>
    <w:rsid w:val="00FE4B8A"/>
    <w:rsid w:val="00FF3D95"/>
    <w:rsid w:val="00FF53C7"/>
    <w:rsid w:val="00FF7543"/>
    <w:rsid w:val="00FF7CC5"/>
    <w:rsid w:val="0129FC26"/>
    <w:rsid w:val="032FD6FF"/>
    <w:rsid w:val="09895941"/>
    <w:rsid w:val="0CABCD0C"/>
    <w:rsid w:val="0DFC96DC"/>
    <w:rsid w:val="0EFFBAA3"/>
    <w:rsid w:val="0F353557"/>
    <w:rsid w:val="11BCA651"/>
    <w:rsid w:val="140D1051"/>
    <w:rsid w:val="17076339"/>
    <w:rsid w:val="17D26DDE"/>
    <w:rsid w:val="1934CCEB"/>
    <w:rsid w:val="1BBF77BA"/>
    <w:rsid w:val="1CDE1E69"/>
    <w:rsid w:val="20541622"/>
    <w:rsid w:val="25864AA0"/>
    <w:rsid w:val="25A26AC5"/>
    <w:rsid w:val="2828617C"/>
    <w:rsid w:val="2F9CF3DF"/>
    <w:rsid w:val="327A3EE2"/>
    <w:rsid w:val="337AC0EA"/>
    <w:rsid w:val="34725B66"/>
    <w:rsid w:val="37C64080"/>
    <w:rsid w:val="39D83D09"/>
    <w:rsid w:val="4191E86B"/>
    <w:rsid w:val="44B801DB"/>
    <w:rsid w:val="47D7B9AF"/>
    <w:rsid w:val="47DA234F"/>
    <w:rsid w:val="49FE4791"/>
    <w:rsid w:val="54F4F05D"/>
    <w:rsid w:val="5708EF1E"/>
    <w:rsid w:val="59DFC261"/>
    <w:rsid w:val="5A64C8FF"/>
    <w:rsid w:val="5EA1B9D8"/>
    <w:rsid w:val="609D331C"/>
    <w:rsid w:val="677FC14C"/>
    <w:rsid w:val="68AC61D2"/>
    <w:rsid w:val="6BFD809C"/>
    <w:rsid w:val="6C057564"/>
    <w:rsid w:val="6C87DB47"/>
    <w:rsid w:val="6EF4B627"/>
    <w:rsid w:val="72A7BDAE"/>
    <w:rsid w:val="73086929"/>
    <w:rsid w:val="733ED571"/>
    <w:rsid w:val="795328A0"/>
    <w:rsid w:val="79C06012"/>
    <w:rsid w:val="7EB70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D8EE4"/>
  <w15:chartTrackingRefBased/>
  <w15:docId w15:val="{3CA93F84-FF27-4B50-9B94-28BEFCC6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E3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7B2E38"/>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2EAC"/>
    <w:pPr>
      <w:ind w:left="720"/>
      <w:contextualSpacing/>
    </w:pPr>
  </w:style>
  <w:style w:type="table" w:styleId="TableGrid">
    <w:name w:val="Table Grid"/>
    <w:basedOn w:val="TableNormal"/>
    <w:uiPriority w:val="59"/>
    <w:rsid w:val="00E4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D08CD"/>
  </w:style>
  <w:style w:type="paragraph" w:styleId="Header">
    <w:name w:val="header"/>
    <w:basedOn w:val="Normal"/>
    <w:link w:val="HeaderChar"/>
    <w:uiPriority w:val="99"/>
    <w:unhideWhenUsed/>
    <w:rsid w:val="00A71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9C1"/>
  </w:style>
  <w:style w:type="paragraph" w:styleId="Footer">
    <w:name w:val="footer"/>
    <w:basedOn w:val="Normal"/>
    <w:link w:val="FooterChar"/>
    <w:uiPriority w:val="99"/>
    <w:unhideWhenUsed/>
    <w:rsid w:val="00A71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9C1"/>
  </w:style>
  <w:style w:type="paragraph" w:customStyle="1" w:styleId="paragraph">
    <w:name w:val="paragraph"/>
    <w:basedOn w:val="Normal"/>
    <w:rsid w:val="007311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1188"/>
  </w:style>
  <w:style w:type="character" w:customStyle="1" w:styleId="eop">
    <w:name w:val="eop"/>
    <w:basedOn w:val="DefaultParagraphFont"/>
    <w:rsid w:val="00731188"/>
  </w:style>
  <w:style w:type="character" w:styleId="CommentReference">
    <w:name w:val="annotation reference"/>
    <w:basedOn w:val="DefaultParagraphFont"/>
    <w:uiPriority w:val="99"/>
    <w:semiHidden/>
    <w:unhideWhenUsed/>
    <w:rsid w:val="00AD15D5"/>
    <w:rPr>
      <w:sz w:val="16"/>
      <w:szCs w:val="16"/>
    </w:rPr>
  </w:style>
  <w:style w:type="paragraph" w:styleId="CommentText">
    <w:name w:val="annotation text"/>
    <w:basedOn w:val="Normal"/>
    <w:link w:val="CommentTextChar"/>
    <w:uiPriority w:val="99"/>
    <w:unhideWhenUsed/>
    <w:rsid w:val="00AD15D5"/>
    <w:pPr>
      <w:spacing w:line="240" w:lineRule="auto"/>
    </w:pPr>
    <w:rPr>
      <w:sz w:val="20"/>
      <w:szCs w:val="20"/>
    </w:rPr>
  </w:style>
  <w:style w:type="character" w:customStyle="1" w:styleId="CommentTextChar">
    <w:name w:val="Comment Text Char"/>
    <w:basedOn w:val="DefaultParagraphFont"/>
    <w:link w:val="CommentText"/>
    <w:uiPriority w:val="99"/>
    <w:rsid w:val="00AD15D5"/>
    <w:rPr>
      <w:sz w:val="20"/>
      <w:szCs w:val="20"/>
    </w:rPr>
  </w:style>
  <w:style w:type="paragraph" w:styleId="CommentSubject">
    <w:name w:val="annotation subject"/>
    <w:basedOn w:val="CommentText"/>
    <w:next w:val="CommentText"/>
    <w:link w:val="CommentSubjectChar"/>
    <w:uiPriority w:val="99"/>
    <w:semiHidden/>
    <w:unhideWhenUsed/>
    <w:rsid w:val="00AD15D5"/>
    <w:rPr>
      <w:b/>
      <w:bCs/>
    </w:rPr>
  </w:style>
  <w:style w:type="character" w:customStyle="1" w:styleId="CommentSubjectChar">
    <w:name w:val="Comment Subject Char"/>
    <w:basedOn w:val="CommentTextChar"/>
    <w:link w:val="CommentSubject"/>
    <w:uiPriority w:val="99"/>
    <w:semiHidden/>
    <w:rsid w:val="00AD15D5"/>
    <w:rPr>
      <w:b/>
      <w:bCs/>
      <w:sz w:val="20"/>
      <w:szCs w:val="20"/>
    </w:rPr>
  </w:style>
  <w:style w:type="paragraph" w:styleId="BalloonText">
    <w:name w:val="Balloon Text"/>
    <w:basedOn w:val="Normal"/>
    <w:link w:val="BalloonTextChar"/>
    <w:uiPriority w:val="99"/>
    <w:semiHidden/>
    <w:unhideWhenUsed/>
    <w:rsid w:val="00AD1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D5"/>
    <w:rPr>
      <w:rFonts w:ascii="Segoe UI" w:hAnsi="Segoe UI" w:cs="Segoe UI"/>
      <w:sz w:val="18"/>
      <w:szCs w:val="18"/>
    </w:rPr>
  </w:style>
  <w:style w:type="paragraph" w:styleId="Revision">
    <w:name w:val="Revision"/>
    <w:hidden/>
    <w:uiPriority w:val="99"/>
    <w:semiHidden/>
    <w:rsid w:val="00D74B3D"/>
    <w:pPr>
      <w:spacing w:after="0" w:line="240" w:lineRule="auto"/>
    </w:pPr>
  </w:style>
  <w:style w:type="paragraph" w:styleId="NormalWeb">
    <w:name w:val="Normal (Web)"/>
    <w:basedOn w:val="Normal"/>
    <w:uiPriority w:val="99"/>
    <w:semiHidden/>
    <w:unhideWhenUsed/>
    <w:rsid w:val="003617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B2E38"/>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7B2E38"/>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315">
      <w:bodyDiv w:val="1"/>
      <w:marLeft w:val="0"/>
      <w:marRight w:val="0"/>
      <w:marTop w:val="0"/>
      <w:marBottom w:val="0"/>
      <w:divBdr>
        <w:top w:val="none" w:sz="0" w:space="0" w:color="auto"/>
        <w:left w:val="none" w:sz="0" w:space="0" w:color="auto"/>
        <w:bottom w:val="none" w:sz="0" w:space="0" w:color="auto"/>
        <w:right w:val="none" w:sz="0" w:space="0" w:color="auto"/>
      </w:divBdr>
      <w:divsChild>
        <w:div w:id="1653294865">
          <w:marLeft w:val="446"/>
          <w:marRight w:val="0"/>
          <w:marTop w:val="0"/>
          <w:marBottom w:val="0"/>
          <w:divBdr>
            <w:top w:val="none" w:sz="0" w:space="0" w:color="auto"/>
            <w:left w:val="none" w:sz="0" w:space="0" w:color="auto"/>
            <w:bottom w:val="none" w:sz="0" w:space="0" w:color="auto"/>
            <w:right w:val="none" w:sz="0" w:space="0" w:color="auto"/>
          </w:divBdr>
        </w:div>
      </w:divsChild>
    </w:div>
    <w:div w:id="953707812">
      <w:bodyDiv w:val="1"/>
      <w:marLeft w:val="0"/>
      <w:marRight w:val="0"/>
      <w:marTop w:val="0"/>
      <w:marBottom w:val="0"/>
      <w:divBdr>
        <w:top w:val="none" w:sz="0" w:space="0" w:color="auto"/>
        <w:left w:val="none" w:sz="0" w:space="0" w:color="auto"/>
        <w:bottom w:val="none" w:sz="0" w:space="0" w:color="auto"/>
        <w:right w:val="none" w:sz="0" w:space="0" w:color="auto"/>
      </w:divBdr>
    </w:div>
    <w:div w:id="1009987955">
      <w:bodyDiv w:val="1"/>
      <w:marLeft w:val="0"/>
      <w:marRight w:val="0"/>
      <w:marTop w:val="0"/>
      <w:marBottom w:val="0"/>
      <w:divBdr>
        <w:top w:val="none" w:sz="0" w:space="0" w:color="auto"/>
        <w:left w:val="none" w:sz="0" w:space="0" w:color="auto"/>
        <w:bottom w:val="none" w:sz="0" w:space="0" w:color="auto"/>
        <w:right w:val="none" w:sz="0" w:space="0" w:color="auto"/>
      </w:divBdr>
    </w:div>
    <w:div w:id="1311400184">
      <w:bodyDiv w:val="1"/>
      <w:marLeft w:val="0"/>
      <w:marRight w:val="0"/>
      <w:marTop w:val="0"/>
      <w:marBottom w:val="0"/>
      <w:divBdr>
        <w:top w:val="none" w:sz="0" w:space="0" w:color="auto"/>
        <w:left w:val="none" w:sz="0" w:space="0" w:color="auto"/>
        <w:bottom w:val="none" w:sz="0" w:space="0" w:color="auto"/>
        <w:right w:val="none" w:sz="0" w:space="0" w:color="auto"/>
      </w:divBdr>
    </w:div>
    <w:div w:id="1450782825">
      <w:bodyDiv w:val="1"/>
      <w:marLeft w:val="0"/>
      <w:marRight w:val="0"/>
      <w:marTop w:val="0"/>
      <w:marBottom w:val="0"/>
      <w:divBdr>
        <w:top w:val="none" w:sz="0" w:space="0" w:color="auto"/>
        <w:left w:val="none" w:sz="0" w:space="0" w:color="auto"/>
        <w:bottom w:val="none" w:sz="0" w:space="0" w:color="auto"/>
        <w:right w:val="none" w:sz="0" w:space="0" w:color="auto"/>
      </w:divBdr>
      <w:divsChild>
        <w:div w:id="12996542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E5A9CB4BC46547A93F6B163E8108F8" ma:contentTypeVersion="10" ma:contentTypeDescription="Create a new document." ma:contentTypeScope="" ma:versionID="7f9890de5be7b4b2a4bd1f36b571d391">
  <xsd:schema xmlns:xsd="http://www.w3.org/2001/XMLSchema" xmlns:xs="http://www.w3.org/2001/XMLSchema" xmlns:p="http://schemas.microsoft.com/office/2006/metadata/properties" xmlns:ns2="a51e6367-8024-4a93-bfc5-59ec844ab198" targetNamespace="http://schemas.microsoft.com/office/2006/metadata/properties" ma:root="true" ma:fieldsID="989d24e4415c270e215162b9d48992f1" ns2:_="">
    <xsd:import namespace="a51e6367-8024-4a93-bfc5-59ec844ab1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e6367-8024-4a93-bfc5-59ec844ab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3250F-9373-4EC9-96D6-586BB3301CAC}">
  <ds:schemaRefs>
    <ds:schemaRef ds:uri="http://schemas.microsoft.com/sharepoint/v3/contenttype/forms"/>
  </ds:schemaRefs>
</ds:datastoreItem>
</file>

<file path=customXml/itemProps2.xml><?xml version="1.0" encoding="utf-8"?>
<ds:datastoreItem xmlns:ds="http://schemas.openxmlformats.org/officeDocument/2006/customXml" ds:itemID="{C8481093-419D-4A7D-9091-C4835283A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86D8C1-5B58-4612-9731-213184B2AA23}">
  <ds:schemaRefs>
    <ds:schemaRef ds:uri="http://schemas.openxmlformats.org/officeDocument/2006/bibliography"/>
  </ds:schemaRefs>
</ds:datastoreItem>
</file>

<file path=customXml/itemProps4.xml><?xml version="1.0" encoding="utf-8"?>
<ds:datastoreItem xmlns:ds="http://schemas.openxmlformats.org/officeDocument/2006/customXml" ds:itemID="{10D28B7D-5420-4965-9A97-98B4D4CCE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e6367-8024-4a93-bfc5-59ec844ab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Wythenshawe Community Housing Group</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Marsh</dc:creator>
  <cp:keywords/>
  <dc:description/>
  <cp:lastModifiedBy>Christine Little</cp:lastModifiedBy>
  <cp:revision>3</cp:revision>
  <cp:lastPrinted>2024-09-12T10:23:00Z</cp:lastPrinted>
  <dcterms:created xsi:type="dcterms:W3CDTF">2026-04-01T10:13:00Z</dcterms:created>
  <dcterms:modified xsi:type="dcterms:W3CDTF">2026-04-01T10:13:00Z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0x010100B4E5A9CB4BC46547A93F6B163E8108F8</vt:lpwstr>
  </property>
  <property fmtid="{D5CDD505-2E9C-101B-9397-08002B2CF9AE}" pid="3" name="GrammarlyDocumentId">
    <vt:lpwstr>c6c5f177dd2a4367066a2917f78a0e53669eb7016590b81d1dd85cafd35e672d</vt:lpwstr>
  </property>
</Properties>
</file>