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8952" w14:textId="77777777" w:rsidR="001D20FB" w:rsidRDefault="001D20FB" w:rsidP="001D20FB">
      <w:pPr>
        <w:pStyle w:val="Heading1"/>
        <w:jc w:val="center"/>
        <w:rPr>
          <w:sz w:val="28"/>
          <w:szCs w:val="28"/>
        </w:rPr>
      </w:pPr>
      <w:r>
        <w:rPr>
          <w:sz w:val="28"/>
          <w:szCs w:val="28"/>
        </w:rPr>
        <w:t xml:space="preserve">Summary of Cover – </w:t>
      </w:r>
      <w:r w:rsidR="0069064E">
        <w:rPr>
          <w:i/>
          <w:sz w:val="28"/>
          <w:szCs w:val="28"/>
        </w:rPr>
        <w:t>Leaseholder/Shared Owner</w:t>
      </w:r>
    </w:p>
    <w:tbl>
      <w:tblPr>
        <w:tblW w:w="9288" w:type="dxa"/>
        <w:tblBorders>
          <w:top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520"/>
        <w:gridCol w:w="2520"/>
        <w:gridCol w:w="2340"/>
      </w:tblGrid>
      <w:tr w:rsidR="001D20FB" w:rsidRPr="00032CB0" w14:paraId="7BA261DC" w14:textId="77777777" w:rsidTr="00103077">
        <w:trPr>
          <w:cantSplit/>
        </w:trPr>
        <w:tc>
          <w:tcPr>
            <w:tcW w:w="1908" w:type="dxa"/>
            <w:tcBorders>
              <w:top w:val="nil"/>
              <w:bottom w:val="nil"/>
              <w:right w:val="single" w:sz="4" w:space="0" w:color="auto"/>
            </w:tcBorders>
          </w:tcPr>
          <w:p w14:paraId="5413D958" w14:textId="77777777" w:rsidR="001D20FB" w:rsidRPr="00032CB0" w:rsidRDefault="001D20FB" w:rsidP="00103077">
            <w:pPr>
              <w:pStyle w:val="tab"/>
              <w:rPr>
                <w:rFonts w:ascii="Arial" w:hAnsi="Arial" w:cs="Arial"/>
                <w:sz w:val="18"/>
                <w:szCs w:val="18"/>
              </w:rPr>
            </w:pPr>
            <w:r w:rsidRPr="00032CB0">
              <w:rPr>
                <w:rFonts w:ascii="Arial" w:hAnsi="Arial" w:cs="Arial"/>
                <w:sz w:val="18"/>
                <w:szCs w:val="18"/>
              </w:rPr>
              <w:t>Policy Number</w:t>
            </w:r>
          </w:p>
        </w:tc>
        <w:tc>
          <w:tcPr>
            <w:tcW w:w="2520" w:type="dxa"/>
            <w:tcBorders>
              <w:top w:val="single" w:sz="4" w:space="0" w:color="auto"/>
              <w:left w:val="single" w:sz="4" w:space="0" w:color="auto"/>
              <w:bottom w:val="single" w:sz="4" w:space="0" w:color="auto"/>
              <w:right w:val="single" w:sz="4" w:space="0" w:color="auto"/>
            </w:tcBorders>
          </w:tcPr>
          <w:p w14:paraId="1885D48C" w14:textId="77777777" w:rsidR="001D20FB" w:rsidRPr="00032CB0" w:rsidRDefault="0069064E" w:rsidP="00103077">
            <w:pPr>
              <w:pStyle w:val="tab"/>
              <w:rPr>
                <w:rFonts w:ascii="Arial" w:hAnsi="Arial" w:cs="Arial"/>
                <w:b w:val="0"/>
                <w:bCs/>
                <w:sz w:val="18"/>
                <w:szCs w:val="18"/>
              </w:rPr>
            </w:pPr>
            <w:bookmarkStart w:id="0" w:name="Policy"/>
            <w:bookmarkEnd w:id="0"/>
            <w:r>
              <w:rPr>
                <w:rFonts w:ascii="Arial" w:hAnsi="Arial" w:cs="Arial"/>
                <w:b w:val="0"/>
                <w:bCs/>
                <w:sz w:val="18"/>
                <w:szCs w:val="18"/>
              </w:rPr>
              <w:t>21/RSL/10260/A</w:t>
            </w:r>
          </w:p>
        </w:tc>
        <w:tc>
          <w:tcPr>
            <w:tcW w:w="2520" w:type="dxa"/>
            <w:tcBorders>
              <w:top w:val="nil"/>
              <w:left w:val="single" w:sz="4" w:space="0" w:color="auto"/>
              <w:bottom w:val="nil"/>
              <w:right w:val="single" w:sz="4" w:space="0" w:color="auto"/>
            </w:tcBorders>
          </w:tcPr>
          <w:p w14:paraId="6137AE96" w14:textId="77777777" w:rsidR="001D20FB" w:rsidRPr="00032CB0" w:rsidRDefault="001D20FB" w:rsidP="00103077">
            <w:pPr>
              <w:pStyle w:val="tab"/>
              <w:jc w:val="center"/>
              <w:rPr>
                <w:rFonts w:ascii="Arial" w:hAnsi="Arial" w:cs="Arial"/>
                <w:bCs/>
                <w:sz w:val="18"/>
                <w:szCs w:val="18"/>
              </w:rPr>
            </w:pPr>
            <w:r w:rsidRPr="00032CB0">
              <w:rPr>
                <w:rFonts w:ascii="Arial" w:hAnsi="Arial" w:cs="Arial"/>
                <w:bCs/>
                <w:sz w:val="18"/>
                <w:szCs w:val="18"/>
              </w:rPr>
              <w:t>Policy Wording</w:t>
            </w:r>
          </w:p>
        </w:tc>
        <w:tc>
          <w:tcPr>
            <w:tcW w:w="2340" w:type="dxa"/>
            <w:tcBorders>
              <w:top w:val="single" w:sz="4" w:space="0" w:color="auto"/>
              <w:left w:val="single" w:sz="4" w:space="0" w:color="auto"/>
              <w:bottom w:val="single" w:sz="4" w:space="0" w:color="auto"/>
              <w:right w:val="single" w:sz="4" w:space="0" w:color="auto"/>
            </w:tcBorders>
          </w:tcPr>
          <w:p w14:paraId="3031A562" w14:textId="77777777" w:rsidR="001D20FB" w:rsidRPr="00032CB0" w:rsidRDefault="00011E67" w:rsidP="0087110B">
            <w:pPr>
              <w:pStyle w:val="tab"/>
              <w:rPr>
                <w:rFonts w:ascii="Arial" w:hAnsi="Arial" w:cs="Arial"/>
                <w:b w:val="0"/>
                <w:bCs/>
                <w:strike/>
                <w:sz w:val="18"/>
                <w:szCs w:val="18"/>
              </w:rPr>
            </w:pPr>
            <w:r w:rsidRPr="00032CB0">
              <w:rPr>
                <w:rFonts w:ascii="Arial" w:hAnsi="Arial" w:cs="Arial"/>
                <w:b w:val="0"/>
                <w:bCs/>
                <w:sz w:val="18"/>
                <w:szCs w:val="18"/>
              </w:rPr>
              <w:t>Z0009 (05/18) Aviva</w:t>
            </w:r>
          </w:p>
        </w:tc>
      </w:tr>
    </w:tbl>
    <w:p w14:paraId="1F913D25" w14:textId="77777777" w:rsidR="001D20FB" w:rsidRPr="00032CB0" w:rsidRDefault="001D20FB" w:rsidP="001D20FB">
      <w:pPr>
        <w:pStyle w:val="shrink"/>
        <w:rPr>
          <w:rFonts w:ascii="Arial" w:hAnsi="Arial" w:cs="Arial"/>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520"/>
        <w:gridCol w:w="2520"/>
        <w:gridCol w:w="2340"/>
      </w:tblGrid>
      <w:tr w:rsidR="001D20FB" w:rsidRPr="00013DBD" w14:paraId="458D495B" w14:textId="77777777" w:rsidTr="00103077">
        <w:tc>
          <w:tcPr>
            <w:tcW w:w="1908" w:type="dxa"/>
            <w:tcBorders>
              <w:top w:val="nil"/>
              <w:left w:val="nil"/>
              <w:bottom w:val="nil"/>
              <w:right w:val="single" w:sz="4" w:space="0" w:color="auto"/>
            </w:tcBorders>
          </w:tcPr>
          <w:p w14:paraId="21E3709C" w14:textId="77777777" w:rsidR="001D20FB" w:rsidRPr="00032CB0" w:rsidRDefault="001D20FB" w:rsidP="00103077">
            <w:pPr>
              <w:pStyle w:val="tab"/>
              <w:rPr>
                <w:rFonts w:ascii="Arial" w:hAnsi="Arial" w:cs="Arial"/>
                <w:sz w:val="18"/>
                <w:szCs w:val="18"/>
              </w:rPr>
            </w:pPr>
            <w:r w:rsidRPr="00032CB0">
              <w:rPr>
                <w:rFonts w:ascii="Arial" w:hAnsi="Arial" w:cs="Arial"/>
                <w:sz w:val="18"/>
                <w:szCs w:val="18"/>
              </w:rPr>
              <w:t>Identity of Insurer</w:t>
            </w:r>
          </w:p>
        </w:tc>
        <w:tc>
          <w:tcPr>
            <w:tcW w:w="2520" w:type="dxa"/>
            <w:tcBorders>
              <w:top w:val="single" w:sz="4" w:space="0" w:color="auto"/>
              <w:left w:val="single" w:sz="4" w:space="0" w:color="auto"/>
              <w:bottom w:val="single" w:sz="4" w:space="0" w:color="auto"/>
              <w:right w:val="single" w:sz="4" w:space="0" w:color="auto"/>
            </w:tcBorders>
          </w:tcPr>
          <w:p w14:paraId="2D63E50B" w14:textId="77777777" w:rsidR="001D20FB" w:rsidRPr="00032CB0" w:rsidRDefault="001D20FB" w:rsidP="00103077">
            <w:pPr>
              <w:pStyle w:val="tab"/>
              <w:rPr>
                <w:rFonts w:ascii="Arial" w:hAnsi="Arial" w:cs="Arial"/>
                <w:b w:val="0"/>
                <w:bCs/>
                <w:sz w:val="18"/>
                <w:szCs w:val="18"/>
              </w:rPr>
            </w:pPr>
            <w:bookmarkStart w:id="1" w:name="Insurer"/>
            <w:bookmarkEnd w:id="1"/>
            <w:r w:rsidRPr="00032CB0">
              <w:rPr>
                <w:rFonts w:ascii="Arial" w:hAnsi="Arial" w:cs="Arial"/>
                <w:b w:val="0"/>
                <w:bCs/>
                <w:sz w:val="18"/>
                <w:szCs w:val="18"/>
              </w:rPr>
              <w:t>Aviva Insurance Limited</w:t>
            </w:r>
          </w:p>
        </w:tc>
        <w:tc>
          <w:tcPr>
            <w:tcW w:w="2520" w:type="dxa"/>
            <w:tcBorders>
              <w:top w:val="nil"/>
              <w:left w:val="single" w:sz="4" w:space="0" w:color="auto"/>
              <w:bottom w:val="nil"/>
              <w:right w:val="single" w:sz="4" w:space="0" w:color="auto"/>
            </w:tcBorders>
          </w:tcPr>
          <w:p w14:paraId="6C569EB3" w14:textId="77777777" w:rsidR="001D20FB" w:rsidRPr="00032CB0" w:rsidRDefault="001D20FB" w:rsidP="00103077">
            <w:pPr>
              <w:pStyle w:val="tab"/>
              <w:jc w:val="center"/>
              <w:rPr>
                <w:rFonts w:ascii="Arial" w:hAnsi="Arial" w:cs="Arial"/>
                <w:bCs/>
                <w:sz w:val="18"/>
                <w:szCs w:val="18"/>
              </w:rPr>
            </w:pPr>
            <w:r w:rsidRPr="00032CB0">
              <w:rPr>
                <w:rFonts w:ascii="Arial" w:hAnsi="Arial" w:cs="Arial"/>
                <w:bCs/>
                <w:sz w:val="18"/>
                <w:szCs w:val="18"/>
              </w:rPr>
              <w:t>Produced by</w:t>
            </w:r>
          </w:p>
        </w:tc>
        <w:tc>
          <w:tcPr>
            <w:tcW w:w="2340" w:type="dxa"/>
            <w:tcBorders>
              <w:top w:val="single" w:sz="4" w:space="0" w:color="auto"/>
              <w:left w:val="single" w:sz="4" w:space="0" w:color="auto"/>
              <w:bottom w:val="single" w:sz="4" w:space="0" w:color="auto"/>
              <w:right w:val="single" w:sz="4" w:space="0" w:color="auto"/>
            </w:tcBorders>
          </w:tcPr>
          <w:p w14:paraId="521332B6" w14:textId="77777777" w:rsidR="001D20FB" w:rsidRPr="009D1A0D" w:rsidRDefault="009D1A0D" w:rsidP="00103077">
            <w:pPr>
              <w:pStyle w:val="tab"/>
              <w:rPr>
                <w:rFonts w:ascii="Arial" w:hAnsi="Arial" w:cs="Arial"/>
                <w:b w:val="0"/>
                <w:bCs/>
                <w:strike/>
                <w:sz w:val="18"/>
                <w:szCs w:val="18"/>
              </w:rPr>
            </w:pPr>
            <w:r w:rsidRPr="00032CB0">
              <w:rPr>
                <w:rFonts w:ascii="Arial" w:hAnsi="Arial" w:cs="Arial"/>
                <w:b w:val="0"/>
                <w:bCs/>
                <w:sz w:val="18"/>
                <w:szCs w:val="18"/>
              </w:rPr>
              <w:t>Arthur J. Gallagher Insurance Brokers Limited</w:t>
            </w:r>
          </w:p>
        </w:tc>
      </w:tr>
    </w:tbl>
    <w:p w14:paraId="58440EB6" w14:textId="77777777" w:rsidR="001D20FB" w:rsidRDefault="001D20FB" w:rsidP="001D20FB">
      <w:pPr>
        <w:pStyle w:val="shrink"/>
        <w:rPr>
          <w:rFonts w:ascii="Arial" w:hAnsi="Arial" w:cs="Arial"/>
          <w:sz w:val="18"/>
          <w:szCs w:val="1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470"/>
      </w:tblGrid>
      <w:tr w:rsidR="001D20FB" w14:paraId="3D8887C4" w14:textId="77777777" w:rsidTr="00103077">
        <w:tc>
          <w:tcPr>
            <w:tcW w:w="1908" w:type="dxa"/>
            <w:tcBorders>
              <w:top w:val="nil"/>
              <w:left w:val="nil"/>
              <w:bottom w:val="nil"/>
            </w:tcBorders>
          </w:tcPr>
          <w:p w14:paraId="45F5301D" w14:textId="77777777" w:rsidR="001D20FB" w:rsidRDefault="001D20FB" w:rsidP="00103077">
            <w:pPr>
              <w:pStyle w:val="tab"/>
              <w:rPr>
                <w:rFonts w:ascii="Arial" w:hAnsi="Arial" w:cs="Arial"/>
                <w:sz w:val="18"/>
                <w:szCs w:val="18"/>
              </w:rPr>
            </w:pPr>
            <w:r>
              <w:rPr>
                <w:rFonts w:ascii="Arial" w:hAnsi="Arial" w:cs="Arial"/>
                <w:sz w:val="18"/>
                <w:szCs w:val="18"/>
              </w:rPr>
              <w:t>Property Insured</w:t>
            </w:r>
          </w:p>
        </w:tc>
        <w:tc>
          <w:tcPr>
            <w:tcW w:w="7470" w:type="dxa"/>
          </w:tcPr>
          <w:p w14:paraId="6A4393C3" w14:textId="77777777" w:rsidR="001D20FB" w:rsidRDefault="001D20FB" w:rsidP="00103077">
            <w:pPr>
              <w:pStyle w:val="tab"/>
              <w:rPr>
                <w:rFonts w:ascii="Arial" w:hAnsi="Arial" w:cs="Arial"/>
                <w:b w:val="0"/>
                <w:bCs/>
                <w:sz w:val="18"/>
                <w:szCs w:val="18"/>
              </w:rPr>
            </w:pPr>
            <w:r>
              <w:rPr>
                <w:rFonts w:ascii="Arial" w:hAnsi="Arial" w:cs="Arial"/>
                <w:b w:val="0"/>
                <w:bCs/>
                <w:sz w:val="18"/>
                <w:szCs w:val="18"/>
              </w:rPr>
              <w:t xml:space="preserve">Any residential property or commercial property which has been declared to us and which we have accepted. </w:t>
            </w:r>
          </w:p>
        </w:tc>
      </w:tr>
    </w:tbl>
    <w:p w14:paraId="39CD4192" w14:textId="77777777" w:rsidR="003A65F3" w:rsidRDefault="003A65F3" w:rsidP="001D20FB">
      <w:pPr>
        <w:pStyle w:val="shrink"/>
        <w:rPr>
          <w:rFonts w:ascii="Arial" w:hAnsi="Arial" w:cs="Arial"/>
          <w:sz w:val="18"/>
          <w:szCs w:val="18"/>
        </w:rPr>
        <w:sectPr w:rsidR="003A65F3" w:rsidSect="001D20FB">
          <w:headerReference w:type="default" r:id="rId12"/>
          <w:footerReference w:type="default" r:id="rId13"/>
          <w:headerReference w:type="first" r:id="rId14"/>
          <w:footerReference w:type="first" r:id="rId15"/>
          <w:pgSz w:w="11907" w:h="16839" w:code="9"/>
          <w:pgMar w:top="2304" w:right="1440" w:bottom="1728" w:left="1440" w:header="720" w:footer="360" w:gutter="0"/>
          <w:cols w:space="720"/>
          <w:titlePg/>
          <w:docGrid w:linePitch="360"/>
        </w:sectPr>
      </w:pPr>
    </w:p>
    <w:p w14:paraId="12594FF0" w14:textId="77777777" w:rsidR="001D20FB" w:rsidRDefault="001D20FB" w:rsidP="001D20FB">
      <w:pPr>
        <w:pStyle w:val="shrink"/>
        <w:rPr>
          <w:rFonts w:ascii="Arial" w:hAnsi="Arial" w:cs="Arial"/>
          <w:sz w:val="18"/>
          <w:szCs w:val="18"/>
        </w:rPr>
      </w:pPr>
      <w:bookmarkStart w:id="2" w:name="_GoBack"/>
      <w:bookmarkEnd w:id="2"/>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470"/>
      </w:tblGrid>
      <w:tr w:rsidR="001D20FB" w14:paraId="1B6D8581" w14:textId="77777777" w:rsidTr="00103077">
        <w:tc>
          <w:tcPr>
            <w:tcW w:w="1908" w:type="dxa"/>
            <w:tcBorders>
              <w:top w:val="nil"/>
              <w:left w:val="nil"/>
              <w:bottom w:val="nil"/>
            </w:tcBorders>
          </w:tcPr>
          <w:p w14:paraId="075C721F" w14:textId="77777777" w:rsidR="001D20FB" w:rsidRDefault="001D20FB" w:rsidP="00103077">
            <w:pPr>
              <w:pStyle w:val="tab"/>
              <w:rPr>
                <w:rFonts w:ascii="Arial" w:hAnsi="Arial" w:cs="Arial"/>
                <w:sz w:val="18"/>
                <w:szCs w:val="18"/>
              </w:rPr>
            </w:pPr>
            <w:r>
              <w:rPr>
                <w:rFonts w:ascii="Arial" w:hAnsi="Arial" w:cs="Arial"/>
                <w:sz w:val="18"/>
                <w:szCs w:val="18"/>
              </w:rPr>
              <w:t>Address of Risk</w:t>
            </w:r>
          </w:p>
        </w:tc>
        <w:tc>
          <w:tcPr>
            <w:tcW w:w="7470" w:type="dxa"/>
          </w:tcPr>
          <w:p w14:paraId="0092D121" w14:textId="77777777" w:rsidR="001D20FB" w:rsidRPr="005B61D3" w:rsidRDefault="001D20FB" w:rsidP="00103077">
            <w:pPr>
              <w:pStyle w:val="tab"/>
              <w:rPr>
                <w:rFonts w:ascii="Arial" w:hAnsi="Arial" w:cs="Arial"/>
                <w:b w:val="0"/>
                <w:bCs/>
                <w:sz w:val="18"/>
                <w:szCs w:val="18"/>
              </w:rPr>
            </w:pPr>
          </w:p>
        </w:tc>
      </w:tr>
    </w:tbl>
    <w:p w14:paraId="53A76747" w14:textId="77777777" w:rsidR="003A65F3" w:rsidRDefault="003A65F3" w:rsidP="001D20FB">
      <w:pPr>
        <w:pStyle w:val="shrink"/>
        <w:rPr>
          <w:rFonts w:ascii="Arial" w:hAnsi="Arial" w:cs="Arial"/>
          <w:sz w:val="18"/>
          <w:szCs w:val="18"/>
        </w:rPr>
        <w:sectPr w:rsidR="003A65F3" w:rsidSect="003A65F3">
          <w:type w:val="continuous"/>
          <w:pgSz w:w="11907" w:h="16839" w:code="9"/>
          <w:pgMar w:top="2304" w:right="1440" w:bottom="1728" w:left="1440" w:header="720" w:footer="360" w:gutter="0"/>
          <w:cols w:space="720"/>
          <w:formProt w:val="0"/>
          <w:titlePg/>
          <w:docGrid w:linePitch="360"/>
        </w:sectPr>
      </w:pPr>
    </w:p>
    <w:p w14:paraId="5831E3B9" w14:textId="77777777" w:rsidR="001D20FB" w:rsidRDefault="001D20FB" w:rsidP="001D20FB">
      <w:pPr>
        <w:pStyle w:val="shrink"/>
        <w:rPr>
          <w:rFonts w:ascii="Arial" w:hAnsi="Arial" w:cs="Arial"/>
          <w:sz w:val="18"/>
          <w:szCs w:val="1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470"/>
      </w:tblGrid>
      <w:tr w:rsidR="001D20FB" w:rsidRPr="00734096" w14:paraId="13419C8A" w14:textId="77777777" w:rsidTr="00103077">
        <w:tc>
          <w:tcPr>
            <w:tcW w:w="1908" w:type="dxa"/>
            <w:tcBorders>
              <w:top w:val="nil"/>
              <w:left w:val="nil"/>
              <w:bottom w:val="nil"/>
            </w:tcBorders>
          </w:tcPr>
          <w:p w14:paraId="0CFA18F6" w14:textId="77777777" w:rsidR="001D20FB" w:rsidRPr="00734096" w:rsidRDefault="001D20FB" w:rsidP="00103077">
            <w:pPr>
              <w:pStyle w:val="tab"/>
              <w:rPr>
                <w:rFonts w:ascii="Arial" w:hAnsi="Arial" w:cs="Arial"/>
                <w:sz w:val="18"/>
                <w:szCs w:val="18"/>
              </w:rPr>
            </w:pPr>
            <w:r w:rsidRPr="00734096">
              <w:rPr>
                <w:rFonts w:ascii="Arial" w:hAnsi="Arial" w:cs="Arial"/>
                <w:sz w:val="18"/>
                <w:szCs w:val="18"/>
              </w:rPr>
              <w:t>Insured</w:t>
            </w:r>
          </w:p>
        </w:tc>
        <w:tc>
          <w:tcPr>
            <w:tcW w:w="7470" w:type="dxa"/>
          </w:tcPr>
          <w:p w14:paraId="719C464B" w14:textId="77777777" w:rsidR="001D20FB" w:rsidRPr="005B61D3" w:rsidRDefault="001D20FB" w:rsidP="0069064E">
            <w:pPr>
              <w:pStyle w:val="tab"/>
              <w:rPr>
                <w:rFonts w:ascii="Arial" w:hAnsi="Arial" w:cs="Arial"/>
                <w:b w:val="0"/>
                <w:bCs/>
                <w:sz w:val="18"/>
                <w:szCs w:val="18"/>
              </w:rPr>
            </w:pPr>
            <w:r w:rsidRPr="005B61D3">
              <w:rPr>
                <w:rFonts w:ascii="Arial" w:hAnsi="Arial" w:cs="Arial"/>
                <w:b w:val="0"/>
                <w:sz w:val="18"/>
                <w:szCs w:val="18"/>
              </w:rPr>
              <w:fldChar w:fldCharType="begin"/>
            </w:r>
            <w:r w:rsidRPr="005B61D3">
              <w:rPr>
                <w:rFonts w:ascii="Arial" w:hAnsi="Arial" w:cs="Arial"/>
                <w:b w:val="0"/>
                <w:sz w:val="18"/>
                <w:szCs w:val="18"/>
              </w:rPr>
              <w:instrText xml:space="preserve"> MERGEFIELD "Contact_FullName" </w:instrText>
            </w:r>
            <w:r w:rsidRPr="005B61D3">
              <w:rPr>
                <w:rFonts w:ascii="Arial" w:hAnsi="Arial" w:cs="Arial"/>
                <w:b w:val="0"/>
                <w:sz w:val="18"/>
                <w:szCs w:val="18"/>
              </w:rPr>
              <w:fldChar w:fldCharType="separate"/>
            </w:r>
            <w:r w:rsidR="0069064E">
              <w:rPr>
                <w:rFonts w:ascii="Arial" w:hAnsi="Arial" w:cs="Arial"/>
                <w:b w:val="0"/>
                <w:noProof/>
                <w:sz w:val="18"/>
                <w:szCs w:val="18"/>
              </w:rPr>
              <w:t xml:space="preserve">Wythenshawe Community Housing Group </w:t>
            </w:r>
            <w:r w:rsidRPr="005B61D3">
              <w:rPr>
                <w:rFonts w:ascii="Arial" w:hAnsi="Arial" w:cs="Arial"/>
                <w:b w:val="0"/>
                <w:sz w:val="18"/>
                <w:szCs w:val="18"/>
              </w:rPr>
              <w:fldChar w:fldCharType="end"/>
            </w:r>
          </w:p>
        </w:tc>
      </w:tr>
    </w:tbl>
    <w:p w14:paraId="571F262F" w14:textId="77777777" w:rsidR="001D20FB" w:rsidRPr="00734096" w:rsidRDefault="001D20FB" w:rsidP="001D20FB">
      <w:pPr>
        <w:pStyle w:val="shrink"/>
        <w:rPr>
          <w:rFonts w:ascii="Arial" w:hAnsi="Arial" w:cs="Arial"/>
          <w:sz w:val="18"/>
          <w:szCs w:val="1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990"/>
        <w:gridCol w:w="2745"/>
        <w:gridCol w:w="1035"/>
        <w:gridCol w:w="2700"/>
      </w:tblGrid>
      <w:tr w:rsidR="001D20FB" w:rsidRPr="00734096" w14:paraId="7D8C4F23" w14:textId="77777777" w:rsidTr="00103077">
        <w:tc>
          <w:tcPr>
            <w:tcW w:w="1908" w:type="dxa"/>
            <w:tcBorders>
              <w:top w:val="nil"/>
              <w:left w:val="nil"/>
              <w:bottom w:val="nil"/>
            </w:tcBorders>
          </w:tcPr>
          <w:p w14:paraId="6108C0EC" w14:textId="77777777" w:rsidR="001D20FB" w:rsidRPr="00734096" w:rsidRDefault="001D20FB" w:rsidP="00103077">
            <w:pPr>
              <w:pStyle w:val="tab"/>
              <w:rPr>
                <w:rFonts w:ascii="Arial" w:hAnsi="Arial" w:cs="Arial"/>
                <w:sz w:val="18"/>
                <w:szCs w:val="18"/>
              </w:rPr>
            </w:pPr>
            <w:r w:rsidRPr="00734096">
              <w:rPr>
                <w:rFonts w:ascii="Arial" w:hAnsi="Arial" w:cs="Arial"/>
                <w:sz w:val="18"/>
                <w:szCs w:val="18"/>
              </w:rPr>
              <w:t>Period of Insurance</w:t>
            </w:r>
          </w:p>
        </w:tc>
        <w:tc>
          <w:tcPr>
            <w:tcW w:w="990" w:type="dxa"/>
            <w:vAlign w:val="center"/>
          </w:tcPr>
          <w:p w14:paraId="27DE147F" w14:textId="77777777" w:rsidR="001D20FB" w:rsidRPr="00734096" w:rsidRDefault="001D20FB" w:rsidP="00103077">
            <w:pPr>
              <w:pStyle w:val="tab"/>
              <w:jc w:val="center"/>
              <w:rPr>
                <w:rFonts w:ascii="Arial" w:hAnsi="Arial" w:cs="Arial"/>
                <w:sz w:val="18"/>
                <w:szCs w:val="18"/>
              </w:rPr>
            </w:pPr>
            <w:r w:rsidRPr="00734096">
              <w:rPr>
                <w:rFonts w:ascii="Arial" w:hAnsi="Arial" w:cs="Arial"/>
                <w:sz w:val="18"/>
                <w:szCs w:val="18"/>
              </w:rPr>
              <w:t>From</w:t>
            </w:r>
          </w:p>
        </w:tc>
        <w:tc>
          <w:tcPr>
            <w:tcW w:w="2745" w:type="dxa"/>
            <w:vAlign w:val="center"/>
          </w:tcPr>
          <w:p w14:paraId="0DC52228" w14:textId="77777777" w:rsidR="001D20FB" w:rsidRPr="005B61D3" w:rsidRDefault="0069064E" w:rsidP="00103077">
            <w:pPr>
              <w:pStyle w:val="tab"/>
              <w:jc w:val="center"/>
              <w:rPr>
                <w:rFonts w:ascii="Arial" w:hAnsi="Arial" w:cs="Arial"/>
                <w:b w:val="0"/>
                <w:bCs/>
                <w:sz w:val="18"/>
                <w:szCs w:val="18"/>
              </w:rPr>
            </w:pPr>
            <w:r>
              <w:rPr>
                <w:rFonts w:ascii="Arial" w:hAnsi="Arial" w:cs="Arial"/>
                <w:b w:val="0"/>
                <w:bCs/>
                <w:sz w:val="18"/>
                <w:szCs w:val="18"/>
              </w:rPr>
              <w:t>01/10/2021</w:t>
            </w:r>
          </w:p>
        </w:tc>
        <w:tc>
          <w:tcPr>
            <w:tcW w:w="1035" w:type="dxa"/>
            <w:vAlign w:val="center"/>
          </w:tcPr>
          <w:p w14:paraId="5EBC2016" w14:textId="77777777" w:rsidR="001D20FB" w:rsidRPr="00734096" w:rsidRDefault="001D20FB" w:rsidP="00103077">
            <w:pPr>
              <w:pStyle w:val="tab"/>
              <w:jc w:val="center"/>
              <w:rPr>
                <w:rFonts w:ascii="Arial" w:hAnsi="Arial" w:cs="Arial"/>
                <w:sz w:val="18"/>
                <w:szCs w:val="18"/>
              </w:rPr>
            </w:pPr>
            <w:r w:rsidRPr="00734096">
              <w:rPr>
                <w:rFonts w:ascii="Arial" w:hAnsi="Arial" w:cs="Arial"/>
                <w:sz w:val="18"/>
                <w:szCs w:val="18"/>
              </w:rPr>
              <w:t>To</w:t>
            </w:r>
          </w:p>
        </w:tc>
        <w:tc>
          <w:tcPr>
            <w:tcW w:w="2700" w:type="dxa"/>
            <w:vAlign w:val="center"/>
          </w:tcPr>
          <w:p w14:paraId="7227D7BD" w14:textId="77777777" w:rsidR="001D20FB" w:rsidRPr="005B61D3" w:rsidRDefault="0069064E" w:rsidP="00103077">
            <w:pPr>
              <w:pStyle w:val="tab"/>
              <w:jc w:val="center"/>
              <w:rPr>
                <w:rFonts w:ascii="Arial" w:hAnsi="Arial" w:cs="Arial"/>
                <w:b w:val="0"/>
                <w:bCs/>
                <w:sz w:val="18"/>
                <w:szCs w:val="18"/>
              </w:rPr>
            </w:pPr>
            <w:r>
              <w:rPr>
                <w:rFonts w:ascii="Arial" w:hAnsi="Arial" w:cs="Arial"/>
                <w:b w:val="0"/>
                <w:bCs/>
                <w:sz w:val="18"/>
                <w:szCs w:val="18"/>
              </w:rPr>
              <w:t>30/09/2022</w:t>
            </w:r>
          </w:p>
        </w:tc>
      </w:tr>
    </w:tbl>
    <w:p w14:paraId="0AC4FE0F" w14:textId="77777777" w:rsidR="001D20FB" w:rsidRDefault="001D20FB" w:rsidP="001D20FB">
      <w:pPr>
        <w:pStyle w:val="shrink"/>
        <w:rPr>
          <w:rFonts w:ascii="Arial" w:hAnsi="Arial" w:cs="Arial"/>
          <w:sz w:val="18"/>
          <w:szCs w:val="1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470"/>
      </w:tblGrid>
      <w:tr w:rsidR="001D20FB" w14:paraId="5647B7EE" w14:textId="77777777" w:rsidTr="00103077">
        <w:tc>
          <w:tcPr>
            <w:tcW w:w="1908" w:type="dxa"/>
            <w:tcBorders>
              <w:top w:val="nil"/>
              <w:left w:val="nil"/>
              <w:bottom w:val="nil"/>
            </w:tcBorders>
          </w:tcPr>
          <w:p w14:paraId="4253412B" w14:textId="77777777" w:rsidR="001D20FB" w:rsidRDefault="001D20FB" w:rsidP="00103077">
            <w:pPr>
              <w:pStyle w:val="tab"/>
              <w:rPr>
                <w:rFonts w:ascii="Arial" w:hAnsi="Arial" w:cs="Arial"/>
                <w:sz w:val="18"/>
                <w:szCs w:val="18"/>
              </w:rPr>
            </w:pPr>
            <w:r>
              <w:rPr>
                <w:rFonts w:ascii="Arial" w:hAnsi="Arial" w:cs="Arial"/>
                <w:sz w:val="18"/>
                <w:szCs w:val="18"/>
              </w:rPr>
              <w:t>Interested Party</w:t>
            </w:r>
          </w:p>
        </w:tc>
        <w:tc>
          <w:tcPr>
            <w:tcW w:w="7470" w:type="dxa"/>
          </w:tcPr>
          <w:p w14:paraId="0EF7DF8C" w14:textId="77777777" w:rsidR="001D20FB" w:rsidRDefault="001D20FB" w:rsidP="00103077">
            <w:pPr>
              <w:pStyle w:val="tab"/>
              <w:rPr>
                <w:rFonts w:ascii="Arial" w:hAnsi="Arial" w:cs="Arial"/>
                <w:b w:val="0"/>
                <w:bCs/>
                <w:sz w:val="18"/>
                <w:szCs w:val="18"/>
              </w:rPr>
            </w:pPr>
            <w:r>
              <w:rPr>
                <w:rFonts w:ascii="Arial" w:hAnsi="Arial" w:cs="Arial"/>
                <w:b w:val="0"/>
                <w:bCs/>
                <w:sz w:val="18"/>
                <w:szCs w:val="18"/>
              </w:rPr>
              <w:fldChar w:fldCharType="begin">
                <w:ffData>
                  <w:name w:val="Text6"/>
                  <w:enabled/>
                  <w:calcOnExit w:val="0"/>
                  <w:textInput/>
                </w:ffData>
              </w:fldChar>
            </w:r>
            <w:bookmarkStart w:id="3" w:name="Text6"/>
            <w:r>
              <w:rPr>
                <w:rFonts w:ascii="Arial" w:hAnsi="Arial" w:cs="Arial"/>
                <w:b w:val="0"/>
                <w:bCs/>
                <w:sz w:val="18"/>
                <w:szCs w:val="18"/>
              </w:rPr>
              <w:instrText xml:space="preserve"> FORMTEXT </w:instrText>
            </w:r>
            <w:r>
              <w:rPr>
                <w:rFonts w:ascii="Arial" w:hAnsi="Arial" w:cs="Arial"/>
                <w:b w:val="0"/>
                <w:bCs/>
                <w:sz w:val="18"/>
                <w:szCs w:val="18"/>
              </w:rPr>
            </w:r>
            <w:r>
              <w:rPr>
                <w:rFonts w:ascii="Arial" w:hAnsi="Arial" w:cs="Arial"/>
                <w:b w:val="0"/>
                <w:bCs/>
                <w:sz w:val="18"/>
                <w:szCs w:val="18"/>
              </w:rPr>
              <w:fldChar w:fldCharType="separate"/>
            </w:r>
            <w:r>
              <w:rPr>
                <w:rFonts w:ascii="Arial" w:hAnsi="Arial" w:cs="Arial"/>
                <w:b w:val="0"/>
                <w:bCs/>
                <w:noProof/>
                <w:sz w:val="18"/>
                <w:szCs w:val="18"/>
              </w:rPr>
              <w:t> </w:t>
            </w:r>
            <w:r>
              <w:rPr>
                <w:rFonts w:ascii="Arial" w:hAnsi="Arial" w:cs="Arial"/>
                <w:b w:val="0"/>
                <w:bCs/>
                <w:noProof/>
                <w:sz w:val="18"/>
                <w:szCs w:val="18"/>
              </w:rPr>
              <w:t> </w:t>
            </w:r>
            <w:r>
              <w:rPr>
                <w:rFonts w:ascii="Arial" w:hAnsi="Arial" w:cs="Arial"/>
                <w:b w:val="0"/>
                <w:bCs/>
                <w:noProof/>
                <w:sz w:val="18"/>
                <w:szCs w:val="18"/>
              </w:rPr>
              <w:t> </w:t>
            </w:r>
            <w:r>
              <w:rPr>
                <w:rFonts w:ascii="Arial" w:hAnsi="Arial" w:cs="Arial"/>
                <w:b w:val="0"/>
                <w:bCs/>
                <w:noProof/>
                <w:sz w:val="18"/>
                <w:szCs w:val="18"/>
              </w:rPr>
              <w:t> </w:t>
            </w:r>
            <w:r>
              <w:rPr>
                <w:rFonts w:ascii="Arial" w:hAnsi="Arial" w:cs="Arial"/>
                <w:b w:val="0"/>
                <w:bCs/>
                <w:noProof/>
                <w:sz w:val="18"/>
                <w:szCs w:val="18"/>
              </w:rPr>
              <w:t> </w:t>
            </w:r>
            <w:r>
              <w:rPr>
                <w:rFonts w:ascii="Arial" w:hAnsi="Arial" w:cs="Arial"/>
                <w:b w:val="0"/>
                <w:bCs/>
                <w:sz w:val="18"/>
                <w:szCs w:val="18"/>
              </w:rPr>
              <w:fldChar w:fldCharType="end"/>
            </w:r>
            <w:bookmarkEnd w:id="3"/>
          </w:p>
        </w:tc>
      </w:tr>
    </w:tbl>
    <w:p w14:paraId="1867F689" w14:textId="77777777" w:rsidR="001D20FB" w:rsidRDefault="001D20FB" w:rsidP="001D20FB">
      <w:pPr>
        <w:pStyle w:val="shrink"/>
        <w:rPr>
          <w:rFonts w:ascii="Arial" w:hAnsi="Arial" w:cs="Arial"/>
          <w:sz w:val="18"/>
          <w:szCs w:val="1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470"/>
      </w:tblGrid>
      <w:tr w:rsidR="001D20FB" w14:paraId="163FB862" w14:textId="77777777" w:rsidTr="00103077">
        <w:tc>
          <w:tcPr>
            <w:tcW w:w="1908" w:type="dxa"/>
            <w:tcBorders>
              <w:top w:val="nil"/>
              <w:left w:val="nil"/>
              <w:bottom w:val="nil"/>
            </w:tcBorders>
          </w:tcPr>
          <w:p w14:paraId="6769ADC6" w14:textId="77777777" w:rsidR="001D20FB" w:rsidRDefault="001D20FB" w:rsidP="00103077">
            <w:pPr>
              <w:pStyle w:val="tab"/>
              <w:rPr>
                <w:rFonts w:ascii="Arial" w:hAnsi="Arial" w:cs="Arial"/>
                <w:sz w:val="18"/>
                <w:szCs w:val="18"/>
              </w:rPr>
            </w:pPr>
            <w:r>
              <w:rPr>
                <w:rFonts w:ascii="Arial" w:hAnsi="Arial" w:cs="Arial"/>
                <w:sz w:val="18"/>
                <w:szCs w:val="18"/>
              </w:rPr>
              <w:t>Nature of Interest</w:t>
            </w:r>
          </w:p>
        </w:tc>
        <w:tc>
          <w:tcPr>
            <w:tcW w:w="7470" w:type="dxa"/>
          </w:tcPr>
          <w:p w14:paraId="5C3C741F" w14:textId="77777777" w:rsidR="001D20FB" w:rsidRDefault="001D20FB" w:rsidP="00103077">
            <w:pPr>
              <w:pStyle w:val="tab"/>
              <w:spacing w:after="520"/>
              <w:rPr>
                <w:rFonts w:ascii="Arial" w:hAnsi="Arial" w:cs="Arial"/>
                <w:b w:val="0"/>
                <w:bCs/>
                <w:sz w:val="18"/>
                <w:szCs w:val="18"/>
              </w:rPr>
            </w:pPr>
            <w:r>
              <w:rPr>
                <w:rFonts w:ascii="Arial" w:hAnsi="Arial" w:cs="Arial"/>
                <w:b w:val="0"/>
                <w:bCs/>
                <w:sz w:val="18"/>
                <w:szCs w:val="18"/>
              </w:rPr>
              <w:fldChar w:fldCharType="begin">
                <w:ffData>
                  <w:name w:val="Text7"/>
                  <w:enabled/>
                  <w:calcOnExit w:val="0"/>
                  <w:textInput/>
                </w:ffData>
              </w:fldChar>
            </w:r>
            <w:bookmarkStart w:id="4" w:name="Text7"/>
            <w:r>
              <w:rPr>
                <w:rFonts w:ascii="Arial" w:hAnsi="Arial" w:cs="Arial"/>
                <w:b w:val="0"/>
                <w:bCs/>
                <w:sz w:val="18"/>
                <w:szCs w:val="18"/>
              </w:rPr>
              <w:instrText xml:space="preserve"> FORMTEXT </w:instrText>
            </w:r>
            <w:r>
              <w:rPr>
                <w:rFonts w:ascii="Arial" w:hAnsi="Arial" w:cs="Arial"/>
                <w:b w:val="0"/>
                <w:bCs/>
                <w:sz w:val="18"/>
                <w:szCs w:val="18"/>
              </w:rPr>
            </w:r>
            <w:r>
              <w:rPr>
                <w:rFonts w:ascii="Arial" w:hAnsi="Arial" w:cs="Arial"/>
                <w:b w:val="0"/>
                <w:bCs/>
                <w:sz w:val="18"/>
                <w:szCs w:val="18"/>
              </w:rPr>
              <w:fldChar w:fldCharType="separate"/>
            </w:r>
            <w:r>
              <w:rPr>
                <w:rFonts w:ascii="Arial" w:hAnsi="Arial" w:cs="Arial"/>
                <w:b w:val="0"/>
                <w:bCs/>
                <w:noProof/>
                <w:sz w:val="18"/>
                <w:szCs w:val="18"/>
              </w:rPr>
              <w:t> </w:t>
            </w:r>
            <w:r>
              <w:rPr>
                <w:rFonts w:ascii="Arial" w:hAnsi="Arial" w:cs="Arial"/>
                <w:b w:val="0"/>
                <w:bCs/>
                <w:noProof/>
                <w:sz w:val="18"/>
                <w:szCs w:val="18"/>
              </w:rPr>
              <w:t> </w:t>
            </w:r>
            <w:r>
              <w:rPr>
                <w:rFonts w:ascii="Arial" w:hAnsi="Arial" w:cs="Arial"/>
                <w:b w:val="0"/>
                <w:bCs/>
                <w:noProof/>
                <w:sz w:val="18"/>
                <w:szCs w:val="18"/>
              </w:rPr>
              <w:t> </w:t>
            </w:r>
            <w:r>
              <w:rPr>
                <w:rFonts w:ascii="Arial" w:hAnsi="Arial" w:cs="Arial"/>
                <w:b w:val="0"/>
                <w:bCs/>
                <w:noProof/>
                <w:sz w:val="18"/>
                <w:szCs w:val="18"/>
              </w:rPr>
              <w:t> </w:t>
            </w:r>
            <w:r>
              <w:rPr>
                <w:rFonts w:ascii="Arial" w:hAnsi="Arial" w:cs="Arial"/>
                <w:b w:val="0"/>
                <w:bCs/>
                <w:noProof/>
                <w:sz w:val="18"/>
                <w:szCs w:val="18"/>
              </w:rPr>
              <w:t> </w:t>
            </w:r>
            <w:r>
              <w:rPr>
                <w:rFonts w:ascii="Arial" w:hAnsi="Arial" w:cs="Arial"/>
                <w:b w:val="0"/>
                <w:bCs/>
                <w:sz w:val="18"/>
                <w:szCs w:val="18"/>
              </w:rPr>
              <w:fldChar w:fldCharType="end"/>
            </w:r>
            <w:bookmarkEnd w:id="4"/>
          </w:p>
        </w:tc>
      </w:tr>
      <w:tr w:rsidR="001D20FB" w14:paraId="4BEEB4B1" w14:textId="77777777" w:rsidTr="00103077">
        <w:tc>
          <w:tcPr>
            <w:tcW w:w="1908" w:type="dxa"/>
            <w:tcBorders>
              <w:top w:val="nil"/>
              <w:left w:val="nil"/>
              <w:bottom w:val="nil"/>
            </w:tcBorders>
          </w:tcPr>
          <w:p w14:paraId="25914964" w14:textId="77777777" w:rsidR="001D20FB" w:rsidRDefault="001D20FB" w:rsidP="00103077">
            <w:pPr>
              <w:pStyle w:val="tab"/>
              <w:rPr>
                <w:rFonts w:ascii="Arial" w:hAnsi="Arial" w:cs="Arial"/>
                <w:sz w:val="18"/>
                <w:szCs w:val="18"/>
              </w:rPr>
            </w:pPr>
            <w:r>
              <w:rPr>
                <w:rFonts w:ascii="Arial" w:hAnsi="Arial" w:cs="Arial"/>
                <w:sz w:val="18"/>
                <w:szCs w:val="18"/>
              </w:rPr>
              <w:t>Notice of Interest</w:t>
            </w:r>
          </w:p>
        </w:tc>
        <w:tc>
          <w:tcPr>
            <w:tcW w:w="7470" w:type="dxa"/>
          </w:tcPr>
          <w:p w14:paraId="51B9473C" w14:textId="77777777" w:rsidR="001D20FB" w:rsidRDefault="001D20FB" w:rsidP="00103077">
            <w:pPr>
              <w:pStyle w:val="tab"/>
              <w:rPr>
                <w:rFonts w:ascii="Arial" w:hAnsi="Arial" w:cs="Arial"/>
                <w:b w:val="0"/>
                <w:bCs/>
                <w:sz w:val="18"/>
                <w:szCs w:val="18"/>
              </w:rPr>
            </w:pPr>
            <w:r>
              <w:rPr>
                <w:rFonts w:ascii="Arial" w:hAnsi="Arial" w:cs="Arial"/>
                <w:b w:val="0"/>
                <w:bCs/>
                <w:sz w:val="18"/>
                <w:szCs w:val="18"/>
              </w:rPr>
              <w:t xml:space="preserve">The interest of the owners leaseholders mortgagees or other interested parties including those as detailed </w:t>
            </w:r>
            <w:proofErr w:type="gramStart"/>
            <w:r>
              <w:rPr>
                <w:rFonts w:ascii="Arial" w:hAnsi="Arial" w:cs="Arial"/>
                <w:b w:val="0"/>
                <w:bCs/>
                <w:sz w:val="18"/>
                <w:szCs w:val="18"/>
              </w:rPr>
              <w:t>above  in</w:t>
            </w:r>
            <w:proofErr w:type="gramEnd"/>
            <w:r>
              <w:rPr>
                <w:rFonts w:ascii="Arial" w:hAnsi="Arial" w:cs="Arial"/>
                <w:b w:val="0"/>
                <w:bCs/>
                <w:sz w:val="18"/>
                <w:szCs w:val="18"/>
              </w:rPr>
              <w:t xml:space="preserve"> each individual property insured by this Policy is noted and extent of such interest to be disclosed in the event of loss.</w:t>
            </w:r>
          </w:p>
        </w:tc>
      </w:tr>
    </w:tbl>
    <w:p w14:paraId="1F96D9B9" w14:textId="77777777" w:rsidR="001D20FB" w:rsidRDefault="001D20FB" w:rsidP="001D20FB">
      <w:pPr>
        <w:pStyle w:val="shrink"/>
        <w:rPr>
          <w:rFonts w:ascii="Arial" w:hAnsi="Arial" w:cs="Arial"/>
          <w:sz w:val="18"/>
          <w:szCs w:val="18"/>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260"/>
        <w:gridCol w:w="2077"/>
        <w:gridCol w:w="1843"/>
        <w:gridCol w:w="2286"/>
      </w:tblGrid>
      <w:tr w:rsidR="001D20FB" w14:paraId="5241EC86" w14:textId="77777777" w:rsidTr="006C3767">
        <w:tc>
          <w:tcPr>
            <w:tcW w:w="1908" w:type="dxa"/>
            <w:tcBorders>
              <w:top w:val="nil"/>
              <w:left w:val="nil"/>
              <w:bottom w:val="nil"/>
            </w:tcBorders>
          </w:tcPr>
          <w:p w14:paraId="792B4580" w14:textId="77777777" w:rsidR="001D20FB" w:rsidRDefault="001D20FB" w:rsidP="00103077">
            <w:pPr>
              <w:pStyle w:val="tab"/>
              <w:rPr>
                <w:rFonts w:ascii="Arial" w:hAnsi="Arial" w:cs="Arial"/>
                <w:sz w:val="18"/>
                <w:szCs w:val="18"/>
              </w:rPr>
            </w:pPr>
            <w:r>
              <w:rPr>
                <w:rFonts w:ascii="Arial" w:hAnsi="Arial" w:cs="Arial"/>
                <w:sz w:val="18"/>
                <w:szCs w:val="18"/>
              </w:rPr>
              <w:t xml:space="preserve">Sum Insured </w:t>
            </w:r>
          </w:p>
        </w:tc>
        <w:tc>
          <w:tcPr>
            <w:tcW w:w="1260" w:type="dxa"/>
            <w:vAlign w:val="center"/>
          </w:tcPr>
          <w:p w14:paraId="0C1641A7" w14:textId="77777777" w:rsidR="001D20FB" w:rsidRDefault="001D20FB" w:rsidP="00103077">
            <w:pPr>
              <w:pStyle w:val="tab"/>
              <w:rPr>
                <w:rFonts w:ascii="Arial" w:hAnsi="Arial" w:cs="Arial"/>
                <w:b w:val="0"/>
                <w:bCs/>
                <w:sz w:val="18"/>
                <w:szCs w:val="18"/>
              </w:rPr>
            </w:pPr>
            <w:r>
              <w:rPr>
                <w:rFonts w:ascii="Arial" w:hAnsi="Arial" w:cs="Arial"/>
                <w:b w:val="0"/>
                <w:bCs/>
                <w:sz w:val="18"/>
                <w:szCs w:val="18"/>
              </w:rPr>
              <w:t>Buildings</w:t>
            </w:r>
          </w:p>
        </w:tc>
        <w:tc>
          <w:tcPr>
            <w:tcW w:w="2077" w:type="dxa"/>
          </w:tcPr>
          <w:p w14:paraId="4CE16AC6" w14:textId="77777777" w:rsidR="001D20FB" w:rsidRDefault="001D20FB" w:rsidP="00103077">
            <w:pPr>
              <w:pStyle w:val="tab"/>
              <w:rPr>
                <w:rFonts w:ascii="Arial" w:hAnsi="Arial" w:cs="Arial"/>
                <w:b w:val="0"/>
                <w:bCs/>
                <w:sz w:val="18"/>
                <w:szCs w:val="18"/>
              </w:rPr>
            </w:pPr>
            <w:r>
              <w:rPr>
                <w:rFonts w:ascii="Arial" w:hAnsi="Arial" w:cs="Arial"/>
                <w:b w:val="0"/>
                <w:bCs/>
                <w:sz w:val="18"/>
                <w:szCs w:val="18"/>
              </w:rPr>
              <w:t>Full Rebuilding Costs</w:t>
            </w:r>
          </w:p>
        </w:tc>
        <w:tc>
          <w:tcPr>
            <w:tcW w:w="1843" w:type="dxa"/>
            <w:vAlign w:val="center"/>
          </w:tcPr>
          <w:p w14:paraId="7ECA163A" w14:textId="77777777" w:rsidR="001D20FB" w:rsidRDefault="00F066D2" w:rsidP="00103077">
            <w:pPr>
              <w:pStyle w:val="tab"/>
              <w:rPr>
                <w:rFonts w:ascii="Arial" w:hAnsi="Arial" w:cs="Arial"/>
                <w:b w:val="0"/>
                <w:bCs/>
                <w:sz w:val="18"/>
                <w:szCs w:val="18"/>
              </w:rPr>
            </w:pPr>
            <w:r>
              <w:rPr>
                <w:rFonts w:ascii="Arial" w:hAnsi="Arial" w:cs="Arial"/>
                <w:b w:val="0"/>
                <w:bCs/>
                <w:sz w:val="18"/>
                <w:szCs w:val="18"/>
              </w:rPr>
              <w:t xml:space="preserve">Landlords Contents/ </w:t>
            </w:r>
            <w:r w:rsidR="00D074EA" w:rsidRPr="006C3767">
              <w:rPr>
                <w:rFonts w:ascii="Arial" w:hAnsi="Arial" w:cs="Arial"/>
                <w:b w:val="0"/>
                <w:bCs/>
                <w:sz w:val="18"/>
                <w:szCs w:val="18"/>
              </w:rPr>
              <w:t>Contents of Common Parts</w:t>
            </w:r>
          </w:p>
        </w:tc>
        <w:tc>
          <w:tcPr>
            <w:tcW w:w="2286" w:type="dxa"/>
          </w:tcPr>
          <w:p w14:paraId="29C3A948" w14:textId="77777777" w:rsidR="001D20FB" w:rsidRDefault="0069064E" w:rsidP="00103077">
            <w:pPr>
              <w:pStyle w:val="tab"/>
              <w:rPr>
                <w:rFonts w:ascii="Arial" w:hAnsi="Arial" w:cs="Arial"/>
                <w:b w:val="0"/>
                <w:bCs/>
                <w:sz w:val="18"/>
                <w:szCs w:val="18"/>
              </w:rPr>
            </w:pPr>
            <w:r>
              <w:rPr>
                <w:rFonts w:ascii="Arial" w:hAnsi="Arial" w:cs="Arial"/>
                <w:b w:val="0"/>
                <w:bCs/>
                <w:sz w:val="18"/>
                <w:szCs w:val="18"/>
              </w:rPr>
              <w:t>N/A</w:t>
            </w:r>
          </w:p>
        </w:tc>
      </w:tr>
    </w:tbl>
    <w:p w14:paraId="461BA174" w14:textId="77777777" w:rsidR="001D20FB" w:rsidRDefault="001D20FB" w:rsidP="001D20FB">
      <w:pPr>
        <w:spacing w:after="0"/>
        <w:rPr>
          <w:rFonts w:cs="Arial"/>
          <w:sz w:val="18"/>
          <w:szCs w:val="18"/>
        </w:rPr>
      </w:pPr>
    </w:p>
    <w:p w14:paraId="2D0DB1A3" w14:textId="77777777" w:rsidR="001D20FB" w:rsidRDefault="001D20FB" w:rsidP="001D20FB">
      <w:pPr>
        <w:rPr>
          <w:rFonts w:cs="Arial"/>
          <w:sz w:val="18"/>
          <w:szCs w:val="18"/>
        </w:rPr>
      </w:pPr>
      <w:r>
        <w:rPr>
          <w:rFonts w:cs="Arial"/>
          <w:sz w:val="18"/>
          <w:szCs w:val="18"/>
        </w:rPr>
        <w:t xml:space="preserve">Please note that this is merely an overview of the cover afforded. Please refer to the schedule, endorsements and policy wording for full terms, conditions and exclusions. </w:t>
      </w:r>
    </w:p>
    <w:p w14:paraId="01649389" w14:textId="77777777" w:rsidR="001D20FB" w:rsidRDefault="001D20FB" w:rsidP="001D20FB">
      <w:pPr>
        <w:pBdr>
          <w:top w:val="single" w:sz="4" w:space="1" w:color="auto"/>
        </w:pBdr>
        <w:spacing w:after="0"/>
        <w:rPr>
          <w:rFonts w:cs="Arial"/>
          <w:b/>
          <w:sz w:val="18"/>
          <w:szCs w:val="18"/>
        </w:rPr>
      </w:pPr>
    </w:p>
    <w:p w14:paraId="0A7C8FAB" w14:textId="77777777" w:rsidR="001D20FB" w:rsidRDefault="001D20FB" w:rsidP="001D20FB">
      <w:pPr>
        <w:spacing w:after="120"/>
        <w:rPr>
          <w:rFonts w:cs="Arial"/>
          <w:b/>
          <w:sz w:val="18"/>
          <w:szCs w:val="18"/>
        </w:rPr>
      </w:pPr>
      <w:r>
        <w:rPr>
          <w:rFonts w:cs="Arial"/>
          <w:b/>
          <w:sz w:val="18"/>
          <w:szCs w:val="18"/>
        </w:rPr>
        <w:t>Asset Protection - Property Damage Cover</w:t>
      </w:r>
    </w:p>
    <w:p w14:paraId="67A03CA1" w14:textId="77777777" w:rsidR="001D20FB" w:rsidRPr="006C3767" w:rsidRDefault="001D20FB" w:rsidP="001D20FB">
      <w:pPr>
        <w:rPr>
          <w:rFonts w:cs="Arial"/>
          <w:sz w:val="18"/>
          <w:szCs w:val="18"/>
        </w:rPr>
      </w:pPr>
      <w:r>
        <w:rPr>
          <w:rFonts w:cs="Arial"/>
          <w:sz w:val="18"/>
          <w:szCs w:val="18"/>
        </w:rPr>
        <w:t>Cove</w:t>
      </w:r>
      <w:r w:rsidRPr="006C3767">
        <w:rPr>
          <w:rFonts w:cs="Arial"/>
          <w:sz w:val="18"/>
          <w:szCs w:val="18"/>
        </w:rPr>
        <w:t xml:space="preserve">r for damage to the Premises including buildings and </w:t>
      </w:r>
      <w:r w:rsidR="00F066D2">
        <w:rPr>
          <w:rFonts w:cs="Arial"/>
          <w:sz w:val="18"/>
          <w:szCs w:val="18"/>
        </w:rPr>
        <w:t xml:space="preserve">Landlord’s </w:t>
      </w:r>
      <w:r w:rsidR="00D074EA" w:rsidRPr="006C3767">
        <w:rPr>
          <w:rFonts w:cs="Arial"/>
          <w:bCs/>
          <w:sz w:val="18"/>
          <w:szCs w:val="18"/>
        </w:rPr>
        <w:t>Contents</w:t>
      </w:r>
      <w:r w:rsidR="00D074EA" w:rsidRPr="006C3767">
        <w:rPr>
          <w:rFonts w:cs="Arial"/>
          <w:b/>
          <w:bCs/>
          <w:sz w:val="18"/>
          <w:szCs w:val="18"/>
        </w:rPr>
        <w:t>/</w:t>
      </w:r>
      <w:r w:rsidR="00D074EA" w:rsidRPr="00F066D2">
        <w:rPr>
          <w:rFonts w:cs="Arial"/>
          <w:bCs/>
          <w:sz w:val="18"/>
          <w:szCs w:val="18"/>
        </w:rPr>
        <w:t>Contents of Common Parts</w:t>
      </w:r>
      <w:r w:rsidRPr="006C3767">
        <w:rPr>
          <w:rFonts w:cs="Arial"/>
          <w:sz w:val="18"/>
          <w:szCs w:val="18"/>
        </w:rPr>
        <w:t xml:space="preserve"> on an “All Risks” basis including, but not restricted to:</w:t>
      </w:r>
    </w:p>
    <w:p w14:paraId="0942E9F6" w14:textId="77777777" w:rsidR="001D20FB" w:rsidRPr="006C3767" w:rsidRDefault="001D20FB" w:rsidP="001D20FB">
      <w:pPr>
        <w:numPr>
          <w:ilvl w:val="0"/>
          <w:numId w:val="27"/>
        </w:numPr>
        <w:spacing w:after="0"/>
        <w:jc w:val="left"/>
        <w:rPr>
          <w:rFonts w:cs="Arial"/>
          <w:sz w:val="18"/>
          <w:szCs w:val="18"/>
        </w:rPr>
      </w:pPr>
      <w:r w:rsidRPr="006C3767">
        <w:rPr>
          <w:rFonts w:cs="Arial"/>
          <w:sz w:val="18"/>
          <w:szCs w:val="18"/>
        </w:rPr>
        <w:t>Fire, Lightning, Explosion</w:t>
      </w:r>
    </w:p>
    <w:p w14:paraId="671628BA" w14:textId="77777777" w:rsidR="001D20FB" w:rsidRPr="006C3767" w:rsidRDefault="001D20FB" w:rsidP="001D20FB">
      <w:pPr>
        <w:numPr>
          <w:ilvl w:val="0"/>
          <w:numId w:val="27"/>
        </w:numPr>
        <w:spacing w:after="0"/>
        <w:jc w:val="left"/>
        <w:rPr>
          <w:rFonts w:cs="Arial"/>
          <w:sz w:val="18"/>
          <w:szCs w:val="18"/>
        </w:rPr>
      </w:pPr>
      <w:r w:rsidRPr="006C3767">
        <w:rPr>
          <w:rFonts w:cs="Arial"/>
          <w:sz w:val="18"/>
          <w:szCs w:val="18"/>
        </w:rPr>
        <w:t xml:space="preserve">Aircraft </w:t>
      </w:r>
      <w:r w:rsidR="00D074EA" w:rsidRPr="006C3767">
        <w:rPr>
          <w:rFonts w:cs="Arial"/>
          <w:sz w:val="18"/>
          <w:szCs w:val="18"/>
        </w:rPr>
        <w:t>or</w:t>
      </w:r>
      <w:r w:rsidRPr="006C3767">
        <w:rPr>
          <w:rFonts w:cs="Arial"/>
          <w:sz w:val="18"/>
          <w:szCs w:val="18"/>
        </w:rPr>
        <w:t xml:space="preserve"> articles dropped from them</w:t>
      </w:r>
    </w:p>
    <w:p w14:paraId="582567C5" w14:textId="77777777" w:rsidR="001D20FB" w:rsidRDefault="001D20FB" w:rsidP="001D20FB">
      <w:pPr>
        <w:numPr>
          <w:ilvl w:val="0"/>
          <w:numId w:val="27"/>
        </w:numPr>
        <w:spacing w:after="0"/>
        <w:jc w:val="left"/>
        <w:rPr>
          <w:rFonts w:cs="Arial"/>
          <w:sz w:val="18"/>
          <w:szCs w:val="18"/>
        </w:rPr>
      </w:pPr>
      <w:r>
        <w:rPr>
          <w:rFonts w:cs="Arial"/>
          <w:sz w:val="18"/>
          <w:szCs w:val="18"/>
        </w:rPr>
        <w:t>Riot, Civil Commotion, Strikers or Malicious Persons (other than thieves)</w:t>
      </w:r>
    </w:p>
    <w:p w14:paraId="2E0AE89A" w14:textId="77777777" w:rsidR="001D20FB" w:rsidRDefault="001D20FB" w:rsidP="001D20FB">
      <w:pPr>
        <w:numPr>
          <w:ilvl w:val="0"/>
          <w:numId w:val="27"/>
        </w:numPr>
        <w:spacing w:after="0"/>
        <w:jc w:val="left"/>
        <w:rPr>
          <w:rFonts w:cs="Arial"/>
          <w:sz w:val="18"/>
          <w:szCs w:val="18"/>
        </w:rPr>
      </w:pPr>
      <w:r>
        <w:rPr>
          <w:rFonts w:cs="Arial"/>
          <w:sz w:val="18"/>
          <w:szCs w:val="18"/>
        </w:rPr>
        <w:t>Earthquake</w:t>
      </w:r>
    </w:p>
    <w:p w14:paraId="738A3555" w14:textId="77777777" w:rsidR="001D20FB" w:rsidRDefault="001D20FB" w:rsidP="001D20FB">
      <w:pPr>
        <w:numPr>
          <w:ilvl w:val="0"/>
          <w:numId w:val="27"/>
        </w:numPr>
        <w:spacing w:after="0"/>
        <w:jc w:val="left"/>
        <w:rPr>
          <w:rFonts w:cs="Arial"/>
          <w:sz w:val="18"/>
          <w:szCs w:val="18"/>
        </w:rPr>
      </w:pPr>
      <w:r>
        <w:rPr>
          <w:rFonts w:cs="Arial"/>
          <w:sz w:val="18"/>
          <w:szCs w:val="18"/>
        </w:rPr>
        <w:t>Storm or Flood</w:t>
      </w:r>
    </w:p>
    <w:p w14:paraId="182CF278" w14:textId="77777777" w:rsidR="001D20FB" w:rsidRDefault="001D20FB" w:rsidP="001D20FB">
      <w:pPr>
        <w:numPr>
          <w:ilvl w:val="0"/>
          <w:numId w:val="27"/>
        </w:numPr>
        <w:spacing w:after="0"/>
        <w:jc w:val="left"/>
        <w:rPr>
          <w:rFonts w:cs="Arial"/>
          <w:sz w:val="18"/>
          <w:szCs w:val="18"/>
        </w:rPr>
      </w:pPr>
      <w:r>
        <w:rPr>
          <w:rFonts w:cs="Arial"/>
          <w:sz w:val="18"/>
          <w:szCs w:val="18"/>
        </w:rPr>
        <w:t>Escape of Water from any tank, apparatus of pipe</w:t>
      </w:r>
    </w:p>
    <w:p w14:paraId="0F5EB159" w14:textId="77777777" w:rsidR="001D20FB" w:rsidRDefault="001D20FB" w:rsidP="001D20FB">
      <w:pPr>
        <w:numPr>
          <w:ilvl w:val="0"/>
          <w:numId w:val="27"/>
        </w:numPr>
        <w:spacing w:after="0"/>
        <w:jc w:val="left"/>
        <w:rPr>
          <w:rFonts w:cs="Arial"/>
          <w:sz w:val="18"/>
          <w:szCs w:val="18"/>
        </w:rPr>
      </w:pPr>
      <w:r>
        <w:rPr>
          <w:rFonts w:cs="Arial"/>
          <w:sz w:val="18"/>
          <w:szCs w:val="18"/>
        </w:rPr>
        <w:t>Escape of Fuel from any fixed oil heating installation</w:t>
      </w:r>
    </w:p>
    <w:p w14:paraId="3EC66F4F" w14:textId="77777777" w:rsidR="001D20FB" w:rsidRDefault="001D20FB" w:rsidP="001D20FB">
      <w:pPr>
        <w:numPr>
          <w:ilvl w:val="0"/>
          <w:numId w:val="27"/>
        </w:numPr>
        <w:spacing w:after="0"/>
        <w:jc w:val="left"/>
        <w:rPr>
          <w:rFonts w:cs="Arial"/>
          <w:sz w:val="18"/>
          <w:szCs w:val="18"/>
        </w:rPr>
      </w:pPr>
      <w:r>
        <w:rPr>
          <w:rFonts w:cs="Arial"/>
          <w:sz w:val="18"/>
          <w:szCs w:val="18"/>
        </w:rPr>
        <w:t>Falling Trees</w:t>
      </w:r>
    </w:p>
    <w:p w14:paraId="5DA90A94" w14:textId="77777777" w:rsidR="001D20FB" w:rsidRDefault="001D20FB" w:rsidP="001D20FB">
      <w:pPr>
        <w:numPr>
          <w:ilvl w:val="0"/>
          <w:numId w:val="27"/>
        </w:numPr>
        <w:spacing w:after="0"/>
        <w:jc w:val="left"/>
        <w:rPr>
          <w:rFonts w:cs="Arial"/>
          <w:sz w:val="18"/>
          <w:szCs w:val="18"/>
        </w:rPr>
      </w:pPr>
      <w:r>
        <w:rPr>
          <w:rFonts w:cs="Arial"/>
          <w:sz w:val="18"/>
          <w:szCs w:val="18"/>
        </w:rPr>
        <w:t>Impact</w:t>
      </w:r>
    </w:p>
    <w:p w14:paraId="3907CAA6" w14:textId="77777777" w:rsidR="001D20FB" w:rsidRDefault="001D20FB" w:rsidP="001D20FB">
      <w:pPr>
        <w:numPr>
          <w:ilvl w:val="0"/>
          <w:numId w:val="27"/>
        </w:numPr>
        <w:spacing w:after="0"/>
        <w:jc w:val="left"/>
        <w:rPr>
          <w:rFonts w:cs="Arial"/>
          <w:sz w:val="18"/>
          <w:szCs w:val="18"/>
        </w:rPr>
      </w:pPr>
      <w:r>
        <w:rPr>
          <w:rFonts w:cs="Arial"/>
          <w:sz w:val="18"/>
          <w:szCs w:val="18"/>
        </w:rPr>
        <w:t>Theft</w:t>
      </w:r>
    </w:p>
    <w:p w14:paraId="7AF617F2" w14:textId="77777777" w:rsidR="001D20FB" w:rsidRDefault="001D20FB" w:rsidP="001D20FB">
      <w:pPr>
        <w:numPr>
          <w:ilvl w:val="0"/>
          <w:numId w:val="27"/>
        </w:numPr>
        <w:spacing w:after="0"/>
        <w:jc w:val="left"/>
        <w:rPr>
          <w:rFonts w:cs="Arial"/>
          <w:sz w:val="18"/>
          <w:szCs w:val="18"/>
        </w:rPr>
      </w:pPr>
      <w:r>
        <w:rPr>
          <w:rFonts w:cs="Arial"/>
          <w:sz w:val="18"/>
          <w:szCs w:val="18"/>
        </w:rPr>
        <w:t>Subsidence</w:t>
      </w:r>
    </w:p>
    <w:p w14:paraId="4E01905B" w14:textId="77777777" w:rsidR="001D20FB" w:rsidRDefault="001D20FB" w:rsidP="001D20FB">
      <w:pPr>
        <w:numPr>
          <w:ilvl w:val="0"/>
          <w:numId w:val="27"/>
        </w:numPr>
        <w:spacing w:after="0"/>
        <w:jc w:val="left"/>
        <w:rPr>
          <w:rFonts w:cs="Arial"/>
          <w:sz w:val="18"/>
          <w:szCs w:val="18"/>
        </w:rPr>
      </w:pPr>
      <w:r>
        <w:rPr>
          <w:rFonts w:cs="Arial"/>
          <w:sz w:val="18"/>
          <w:szCs w:val="18"/>
        </w:rPr>
        <w:t>Accidental Damage</w:t>
      </w:r>
    </w:p>
    <w:p w14:paraId="2D0BCD33" w14:textId="77777777" w:rsidR="001D20FB" w:rsidRDefault="001D20FB" w:rsidP="001D20FB">
      <w:pPr>
        <w:spacing w:after="0"/>
        <w:rPr>
          <w:rFonts w:cs="Arial"/>
          <w:sz w:val="18"/>
          <w:szCs w:val="18"/>
        </w:rPr>
      </w:pPr>
    </w:p>
    <w:p w14:paraId="38CBE4B6" w14:textId="77777777" w:rsidR="001D20FB" w:rsidRDefault="001D20FB" w:rsidP="001D20FB">
      <w:pPr>
        <w:rPr>
          <w:rFonts w:cs="Arial"/>
          <w:sz w:val="18"/>
          <w:szCs w:val="18"/>
        </w:rPr>
      </w:pPr>
      <w:r>
        <w:rPr>
          <w:rFonts w:cs="Arial"/>
          <w:sz w:val="18"/>
          <w:szCs w:val="18"/>
        </w:rPr>
        <w:lastRenderedPageBreak/>
        <w:t>“All Risks” provides cover for all Damage to the Property Insured (subject to any</w:t>
      </w:r>
      <w:r>
        <w:rPr>
          <w:rFonts w:cs="Arial"/>
          <w:color w:val="FF0000"/>
          <w:sz w:val="18"/>
          <w:szCs w:val="18"/>
        </w:rPr>
        <w:t xml:space="preserve"> </w:t>
      </w:r>
      <w:r>
        <w:rPr>
          <w:rFonts w:cs="Arial"/>
          <w:sz w:val="18"/>
          <w:szCs w:val="18"/>
        </w:rPr>
        <w:t xml:space="preserve">Excess stated in the schedule) occurring during the currency of the policy unless specifically excluded in the policy wording. </w:t>
      </w:r>
    </w:p>
    <w:p w14:paraId="0111E307" w14:textId="77777777" w:rsidR="001D20FB" w:rsidRDefault="001D20FB" w:rsidP="001D20FB">
      <w:pPr>
        <w:rPr>
          <w:noProof/>
        </w:rPr>
      </w:pPr>
      <w:r>
        <w:rPr>
          <w:rFonts w:cs="Arial"/>
          <w:sz w:val="18"/>
          <w:szCs w:val="18"/>
        </w:rPr>
        <w:t>Damage as a result of terrorism i</w:t>
      </w:r>
      <w:r w:rsidRPr="0069064E">
        <w:rPr>
          <w:rFonts w:cs="Arial"/>
          <w:sz w:val="18"/>
          <w:szCs w:val="18"/>
        </w:rPr>
        <w:t xml:space="preserve">s </w:t>
      </w:r>
      <w:r w:rsidRPr="0069064E">
        <w:rPr>
          <w:rFonts w:cs="Arial"/>
          <w:sz w:val="18"/>
          <w:szCs w:val="18"/>
        </w:rPr>
        <w:fldChar w:fldCharType="begin"/>
      </w:r>
      <w:r w:rsidRPr="0069064E">
        <w:rPr>
          <w:rFonts w:cs="Arial"/>
          <w:sz w:val="18"/>
          <w:szCs w:val="18"/>
        </w:rPr>
        <w:instrText xml:space="preserve"> IF "</w:instrText>
      </w:r>
      <w:r w:rsidRPr="0069064E">
        <w:rPr>
          <w:rFonts w:cs="Arial"/>
          <w:sz w:val="18"/>
          <w:szCs w:val="18"/>
        </w:rPr>
        <w:fldChar w:fldCharType="begin"/>
      </w:r>
      <w:r w:rsidRPr="0069064E">
        <w:rPr>
          <w:rFonts w:cs="Arial"/>
          <w:sz w:val="18"/>
          <w:szCs w:val="18"/>
        </w:rPr>
        <w:instrText xml:space="preserve"> MERGEFIELD "RD_PremisesPremises_Terrorism_TerrorismC" </w:instrText>
      </w:r>
      <w:r w:rsidRPr="0069064E">
        <w:rPr>
          <w:rFonts w:cs="Arial"/>
          <w:sz w:val="18"/>
          <w:szCs w:val="18"/>
        </w:rPr>
        <w:fldChar w:fldCharType="separate"/>
      </w:r>
      <w:r w:rsidR="0069064E" w:rsidRPr="0069064E">
        <w:rPr>
          <w:rFonts w:cs="Arial"/>
          <w:noProof/>
          <w:sz w:val="18"/>
          <w:szCs w:val="18"/>
        </w:rPr>
        <w:instrText>«RD_PremisesPremises_Terrorism_TerrorismC»</w:instrText>
      </w:r>
      <w:r w:rsidRPr="0069064E">
        <w:rPr>
          <w:rFonts w:cs="Arial"/>
          <w:sz w:val="18"/>
          <w:szCs w:val="18"/>
        </w:rPr>
        <w:fldChar w:fldCharType="end"/>
      </w:r>
      <w:r w:rsidRPr="0069064E">
        <w:rPr>
          <w:rFonts w:cs="Arial"/>
          <w:sz w:val="18"/>
          <w:szCs w:val="18"/>
        </w:rPr>
        <w:instrText xml:space="preserve">" = "Included" "operative" "not operative" </w:instrText>
      </w:r>
      <w:r w:rsidRPr="0069064E">
        <w:rPr>
          <w:rFonts w:cs="Arial"/>
          <w:sz w:val="18"/>
          <w:szCs w:val="18"/>
        </w:rPr>
        <w:fldChar w:fldCharType="separate"/>
      </w:r>
      <w:r w:rsidR="0069064E" w:rsidRPr="0069064E">
        <w:rPr>
          <w:rFonts w:cs="Arial"/>
          <w:noProof/>
          <w:sz w:val="18"/>
          <w:szCs w:val="18"/>
        </w:rPr>
        <w:t>operative</w:t>
      </w:r>
      <w:r w:rsidRPr="0069064E">
        <w:rPr>
          <w:rFonts w:cs="Arial"/>
          <w:sz w:val="18"/>
          <w:szCs w:val="18"/>
        </w:rPr>
        <w:fldChar w:fldCharType="end"/>
      </w:r>
      <w:r>
        <w:rPr>
          <w:rFonts w:cs="Arial"/>
          <w:sz w:val="18"/>
          <w:szCs w:val="18"/>
        </w:rPr>
        <w:t>.</w:t>
      </w:r>
      <w:r w:rsidRPr="007555EC">
        <w:rPr>
          <w:noProof/>
        </w:rPr>
        <w:t xml:space="preserve"> </w:t>
      </w:r>
    </w:p>
    <w:p w14:paraId="263F2CE8" w14:textId="77777777" w:rsidR="001D20FB" w:rsidRDefault="001D20FB" w:rsidP="001D20FB">
      <w:pPr>
        <w:rPr>
          <w:rFonts w:cs="Arial"/>
          <w:sz w:val="18"/>
          <w:szCs w:val="18"/>
        </w:rPr>
      </w:pPr>
      <w:r w:rsidRPr="006C3767">
        <w:rPr>
          <w:rFonts w:cs="Arial"/>
          <w:sz w:val="18"/>
          <w:szCs w:val="18"/>
        </w:rPr>
        <w:t>The Premises</w:t>
      </w:r>
      <w:r w:rsidR="00D074EA" w:rsidRPr="006C3767">
        <w:rPr>
          <w:rFonts w:cs="Arial"/>
          <w:sz w:val="18"/>
          <w:szCs w:val="18"/>
        </w:rPr>
        <w:t xml:space="preserve">: Buildings </w:t>
      </w:r>
      <w:r w:rsidRPr="006C3767">
        <w:rPr>
          <w:rFonts w:cs="Arial"/>
          <w:sz w:val="18"/>
          <w:szCs w:val="18"/>
        </w:rPr>
        <w:t xml:space="preserve"> includ</w:t>
      </w:r>
      <w:r w:rsidR="00D074EA" w:rsidRPr="006C3767">
        <w:rPr>
          <w:rFonts w:cs="Arial"/>
          <w:sz w:val="18"/>
          <w:szCs w:val="18"/>
        </w:rPr>
        <w:t>ing</w:t>
      </w:r>
      <w:r w:rsidRPr="006C3767">
        <w:rPr>
          <w:rFonts w:cs="Arial"/>
          <w:b/>
          <w:sz w:val="18"/>
          <w:szCs w:val="18"/>
        </w:rPr>
        <w:t xml:space="preserve"> </w:t>
      </w:r>
      <w:r w:rsidRPr="006C3767">
        <w:rPr>
          <w:rFonts w:cs="Arial"/>
          <w:sz w:val="18"/>
          <w:szCs w:val="18"/>
        </w:rPr>
        <w:t xml:space="preserve">fixtures and fittings, </w:t>
      </w:r>
      <w:r w:rsidR="00F066D2">
        <w:rPr>
          <w:rFonts w:cs="Arial"/>
          <w:sz w:val="18"/>
          <w:szCs w:val="18"/>
        </w:rPr>
        <w:t xml:space="preserve">Landlord’s </w:t>
      </w:r>
      <w:r w:rsidR="00D074EA" w:rsidRPr="006C3767">
        <w:rPr>
          <w:rFonts w:cs="Arial"/>
          <w:sz w:val="18"/>
          <w:szCs w:val="18"/>
        </w:rPr>
        <w:t>Contents,</w:t>
      </w:r>
      <w:r w:rsidRPr="006C3767">
        <w:rPr>
          <w:rFonts w:cs="Arial"/>
          <w:sz w:val="18"/>
          <w:szCs w:val="18"/>
        </w:rPr>
        <w:t>Interior decorations,</w:t>
      </w:r>
      <w:r w:rsidR="00D074EA" w:rsidRPr="006C3767">
        <w:rPr>
          <w:rFonts w:cs="Arial"/>
          <w:sz w:val="18"/>
          <w:szCs w:val="18"/>
        </w:rPr>
        <w:t xml:space="preserve"> Contents of Common Parts</w:t>
      </w:r>
      <w:r w:rsidRPr="006C3767">
        <w:rPr>
          <w:rFonts w:cs="Arial"/>
          <w:sz w:val="18"/>
          <w:szCs w:val="18"/>
        </w:rPr>
        <w:t xml:space="preserve"> telecommunications aerials, aerial fittings and masts, fixed signs, satellite dishes, walls, patios, terraces, gates, fences, hedges, yards, canopies, solar heating panels, fixed signs, hoardings, paths, drives, car parks, roads, pavements, outbuildings, garages, greenhouses, sheds, ornaments, statues, fountains, cesspits, septic tanks, oil tanks, drains, underground pipes, gas and water mains, cables and wires, piping, ducting, electrical installations, meters, lifts, boilers, central heating plant, CCTV systems, external lighting,</w:t>
      </w:r>
      <w:r w:rsidR="00D074EA" w:rsidRPr="006C3767">
        <w:rPr>
          <w:rFonts w:cs="Arial"/>
          <w:sz w:val="18"/>
          <w:szCs w:val="18"/>
        </w:rPr>
        <w:t xml:space="preserve"> fixed floor coverings</w:t>
      </w:r>
      <w:r w:rsidRPr="006C3767">
        <w:rPr>
          <w:rFonts w:cs="Arial"/>
          <w:sz w:val="18"/>
          <w:szCs w:val="18"/>
        </w:rPr>
        <w:t xml:space="preserve"> baths, bath panels, washbasins, pedestal sinks, splash backs, shower trays and sanitary ware contained in any part of the Premises occupied as an individual private dwelling or flat.</w:t>
      </w:r>
      <w:r>
        <w:rPr>
          <w:rFonts w:cs="Arial"/>
          <w:sz w:val="18"/>
          <w:szCs w:val="18"/>
        </w:rPr>
        <w:t xml:space="preserve">  </w:t>
      </w:r>
    </w:p>
    <w:p w14:paraId="60AA7DF2" w14:textId="77777777" w:rsidR="001D20FB" w:rsidRDefault="001D20FB" w:rsidP="001D20FB">
      <w:pPr>
        <w:rPr>
          <w:rFonts w:cs="Arial"/>
          <w:b/>
          <w:sz w:val="18"/>
          <w:szCs w:val="18"/>
        </w:rPr>
      </w:pPr>
      <w:r>
        <w:rPr>
          <w:rFonts w:cs="Arial"/>
          <w:b/>
          <w:sz w:val="18"/>
          <w:szCs w:val="18"/>
        </w:rPr>
        <w:t>Key exclusions are:</w:t>
      </w:r>
    </w:p>
    <w:p w14:paraId="07AEA511" w14:textId="77777777" w:rsidR="001D20FB" w:rsidRDefault="001D20FB" w:rsidP="001D20FB">
      <w:pPr>
        <w:numPr>
          <w:ilvl w:val="0"/>
          <w:numId w:val="28"/>
        </w:numPr>
        <w:spacing w:after="0"/>
        <w:jc w:val="left"/>
        <w:rPr>
          <w:rFonts w:cs="Arial"/>
          <w:sz w:val="18"/>
          <w:szCs w:val="18"/>
        </w:rPr>
      </w:pPr>
      <w:r>
        <w:rPr>
          <w:rFonts w:cs="Arial"/>
          <w:sz w:val="18"/>
          <w:szCs w:val="18"/>
        </w:rPr>
        <w:t xml:space="preserve">The first </w:t>
      </w:r>
      <w:r>
        <w:rPr>
          <w:rFonts w:cs="Arial"/>
          <w:sz w:val="18"/>
          <w:szCs w:val="18"/>
          <w:bdr w:val="single" w:sz="6" w:space="0" w:color="auto"/>
        </w:rPr>
        <w:t>£</w:t>
      </w:r>
      <w:r w:rsidR="0069064E">
        <w:rPr>
          <w:rFonts w:cs="Arial"/>
          <w:sz w:val="18"/>
          <w:szCs w:val="18"/>
          <w:bdr w:val="single" w:sz="6" w:space="0" w:color="auto"/>
        </w:rPr>
        <w:t>0</w:t>
      </w:r>
      <w:r>
        <w:rPr>
          <w:rFonts w:cs="Arial"/>
          <w:sz w:val="18"/>
          <w:szCs w:val="18"/>
        </w:rPr>
        <w:t xml:space="preserve"> of each and every material damage loss excluding subsidence.</w:t>
      </w:r>
    </w:p>
    <w:p w14:paraId="51FF276F" w14:textId="77777777" w:rsidR="001D20FB" w:rsidRDefault="001D20FB" w:rsidP="001D20FB">
      <w:pPr>
        <w:numPr>
          <w:ilvl w:val="0"/>
          <w:numId w:val="28"/>
        </w:numPr>
        <w:spacing w:after="0"/>
        <w:jc w:val="left"/>
        <w:rPr>
          <w:rFonts w:cs="Arial"/>
          <w:sz w:val="18"/>
          <w:szCs w:val="18"/>
        </w:rPr>
      </w:pPr>
      <w:r>
        <w:rPr>
          <w:rFonts w:cs="Arial"/>
          <w:sz w:val="18"/>
          <w:szCs w:val="18"/>
        </w:rPr>
        <w:t xml:space="preserve">The first </w:t>
      </w:r>
      <w:r>
        <w:rPr>
          <w:rFonts w:cs="Arial"/>
          <w:sz w:val="18"/>
          <w:szCs w:val="18"/>
          <w:bdr w:val="single" w:sz="6" w:space="0" w:color="auto"/>
        </w:rPr>
        <w:t>£</w:t>
      </w:r>
      <w:r w:rsidR="0069064E">
        <w:rPr>
          <w:rFonts w:cs="Arial"/>
          <w:sz w:val="18"/>
          <w:szCs w:val="18"/>
          <w:bdr w:val="single" w:sz="6" w:space="0" w:color="auto"/>
        </w:rPr>
        <w:t>1,000</w:t>
      </w:r>
      <w:r>
        <w:rPr>
          <w:rFonts w:cs="Arial"/>
          <w:sz w:val="18"/>
          <w:szCs w:val="18"/>
        </w:rPr>
        <w:t xml:space="preserve"> of each and every material damage loss for subsidence.</w:t>
      </w:r>
    </w:p>
    <w:p w14:paraId="4498B83F" w14:textId="77777777" w:rsidR="001D20FB" w:rsidRDefault="001D20FB" w:rsidP="001D20FB">
      <w:pPr>
        <w:numPr>
          <w:ilvl w:val="0"/>
          <w:numId w:val="28"/>
        </w:numPr>
        <w:spacing w:after="0"/>
        <w:jc w:val="left"/>
        <w:rPr>
          <w:rFonts w:cs="Arial"/>
          <w:sz w:val="18"/>
          <w:szCs w:val="18"/>
        </w:rPr>
      </w:pPr>
      <w:r>
        <w:rPr>
          <w:rFonts w:cs="Arial"/>
          <w:sz w:val="18"/>
          <w:szCs w:val="18"/>
        </w:rPr>
        <w:t xml:space="preserve">The first </w:t>
      </w:r>
      <w:r>
        <w:rPr>
          <w:rFonts w:cs="Arial"/>
          <w:sz w:val="18"/>
          <w:szCs w:val="18"/>
          <w:bdr w:val="single" w:sz="6" w:space="0" w:color="auto"/>
        </w:rPr>
        <w:t>£</w:t>
      </w:r>
      <w:r w:rsidR="0069064E">
        <w:rPr>
          <w:rFonts w:cs="Arial"/>
          <w:sz w:val="18"/>
          <w:szCs w:val="18"/>
          <w:bdr w:val="single" w:sz="6" w:space="0" w:color="auto"/>
        </w:rPr>
        <w:t>0</w:t>
      </w:r>
      <w:r>
        <w:rPr>
          <w:rFonts w:cs="Arial"/>
          <w:sz w:val="18"/>
          <w:szCs w:val="18"/>
        </w:rPr>
        <w:t xml:space="preserve"> of each and every loss in respect of property </w:t>
      </w:r>
      <w:proofErr w:type="gramStart"/>
      <w:r>
        <w:rPr>
          <w:rFonts w:cs="Arial"/>
          <w:sz w:val="18"/>
          <w:szCs w:val="18"/>
        </w:rPr>
        <w:t>owners</w:t>
      </w:r>
      <w:proofErr w:type="gramEnd"/>
      <w:r>
        <w:rPr>
          <w:rFonts w:cs="Arial"/>
          <w:sz w:val="18"/>
          <w:szCs w:val="18"/>
        </w:rPr>
        <w:t xml:space="preserve"> liability damage claims.</w:t>
      </w:r>
    </w:p>
    <w:p w14:paraId="31E12A72" w14:textId="77777777" w:rsidR="001D20FB" w:rsidRDefault="001D20FB" w:rsidP="001D20FB">
      <w:pPr>
        <w:numPr>
          <w:ilvl w:val="0"/>
          <w:numId w:val="28"/>
        </w:numPr>
        <w:spacing w:after="0"/>
        <w:jc w:val="left"/>
        <w:rPr>
          <w:rFonts w:cs="Arial"/>
          <w:sz w:val="18"/>
          <w:szCs w:val="18"/>
        </w:rPr>
      </w:pPr>
      <w:r>
        <w:rPr>
          <w:rFonts w:cs="Arial"/>
          <w:sz w:val="18"/>
          <w:szCs w:val="18"/>
        </w:rPr>
        <w:t xml:space="preserve">The first </w:t>
      </w:r>
      <w:r>
        <w:rPr>
          <w:rFonts w:cs="Arial"/>
          <w:sz w:val="18"/>
          <w:szCs w:val="18"/>
          <w:bdr w:val="single" w:sz="6" w:space="0" w:color="auto"/>
        </w:rPr>
        <w:t>£</w:t>
      </w:r>
      <w:r w:rsidR="0069064E">
        <w:rPr>
          <w:rFonts w:cs="Arial"/>
          <w:sz w:val="18"/>
          <w:szCs w:val="18"/>
          <w:bdr w:val="single" w:sz="6" w:space="0" w:color="auto"/>
        </w:rPr>
        <w:t>0</w:t>
      </w:r>
      <w:r>
        <w:rPr>
          <w:rFonts w:cs="Arial"/>
          <w:sz w:val="18"/>
          <w:szCs w:val="18"/>
        </w:rPr>
        <w:t xml:space="preserve"> of each and every loss in respect of property </w:t>
      </w:r>
      <w:proofErr w:type="gramStart"/>
      <w:r>
        <w:rPr>
          <w:rFonts w:cs="Arial"/>
          <w:sz w:val="18"/>
          <w:szCs w:val="18"/>
        </w:rPr>
        <w:t>owners</w:t>
      </w:r>
      <w:proofErr w:type="gramEnd"/>
      <w:r>
        <w:rPr>
          <w:rFonts w:cs="Arial"/>
          <w:sz w:val="18"/>
          <w:szCs w:val="18"/>
        </w:rPr>
        <w:t xml:space="preserve"> liability injury claims.</w:t>
      </w:r>
    </w:p>
    <w:p w14:paraId="26261DEC" w14:textId="77777777" w:rsidR="001D20FB" w:rsidRPr="007555EC" w:rsidRDefault="001D20FB" w:rsidP="001D20FB">
      <w:pPr>
        <w:numPr>
          <w:ilvl w:val="0"/>
          <w:numId w:val="28"/>
        </w:numPr>
        <w:spacing w:after="0"/>
        <w:jc w:val="left"/>
        <w:rPr>
          <w:rFonts w:cs="Arial"/>
          <w:color w:val="FF0000"/>
          <w:sz w:val="18"/>
          <w:szCs w:val="18"/>
        </w:rPr>
      </w:pPr>
      <w:r w:rsidRPr="00013DBD">
        <w:rPr>
          <w:rFonts w:cs="Arial"/>
          <w:sz w:val="18"/>
          <w:szCs w:val="18"/>
        </w:rPr>
        <w:t xml:space="preserve">The excess will apply per occurrence, building or per unit as specified in the policy document. </w:t>
      </w:r>
    </w:p>
    <w:p w14:paraId="1F56BDA7" w14:textId="77777777" w:rsidR="001D20FB" w:rsidRDefault="001D20FB" w:rsidP="001D20FB">
      <w:pPr>
        <w:numPr>
          <w:ilvl w:val="0"/>
          <w:numId w:val="28"/>
        </w:numPr>
        <w:spacing w:after="0"/>
        <w:jc w:val="left"/>
        <w:rPr>
          <w:rFonts w:cs="Arial"/>
          <w:sz w:val="18"/>
          <w:szCs w:val="18"/>
        </w:rPr>
      </w:pPr>
      <w:r>
        <w:rPr>
          <w:rFonts w:cs="Arial"/>
          <w:sz w:val="18"/>
          <w:szCs w:val="18"/>
        </w:rPr>
        <w:t>Damage caused by an existing or hidden defect, gradual deterioration or wear and tear, frost or change in water table level, faulty design or faulty materials used in construction and faulty workmanship.</w:t>
      </w:r>
    </w:p>
    <w:p w14:paraId="5DB67E1E" w14:textId="77777777" w:rsidR="001D20FB" w:rsidRDefault="001D20FB" w:rsidP="001D20FB">
      <w:pPr>
        <w:numPr>
          <w:ilvl w:val="0"/>
          <w:numId w:val="28"/>
        </w:numPr>
        <w:spacing w:after="0"/>
        <w:jc w:val="left"/>
        <w:rPr>
          <w:rFonts w:cs="Arial"/>
          <w:sz w:val="18"/>
          <w:szCs w:val="18"/>
        </w:rPr>
      </w:pPr>
      <w:r>
        <w:rPr>
          <w:rFonts w:cs="Arial"/>
          <w:sz w:val="18"/>
          <w:szCs w:val="18"/>
        </w:rPr>
        <w:t>Damage caused by or consisting of corrosion, rust or rot, shrinkage, evaporation or loss of weight, dampness or dryness, scratching, vermin or insects, mould or fungus, change in temperature, colour, flavour, texture of finish.</w:t>
      </w:r>
    </w:p>
    <w:p w14:paraId="3D11258E" w14:textId="77777777" w:rsidR="001D20FB" w:rsidRDefault="001D20FB" w:rsidP="001D20FB">
      <w:pPr>
        <w:numPr>
          <w:ilvl w:val="0"/>
          <w:numId w:val="28"/>
        </w:numPr>
        <w:spacing w:after="0"/>
        <w:jc w:val="left"/>
        <w:rPr>
          <w:rFonts w:cs="Arial"/>
          <w:sz w:val="18"/>
          <w:szCs w:val="18"/>
        </w:rPr>
      </w:pPr>
      <w:r>
        <w:rPr>
          <w:rFonts w:cs="Arial"/>
          <w:sz w:val="18"/>
          <w:szCs w:val="18"/>
        </w:rPr>
        <w:t>Loss or damage to fences and gates by storm or flood is limited to indemnity. 10% of the replacement cost will be deducted from each claim for each year of age of the damaged items.</w:t>
      </w:r>
    </w:p>
    <w:p w14:paraId="55DA9E90" w14:textId="77777777" w:rsidR="001D20FB" w:rsidRDefault="001D20FB" w:rsidP="001D20FB">
      <w:pPr>
        <w:numPr>
          <w:ilvl w:val="0"/>
          <w:numId w:val="28"/>
        </w:numPr>
        <w:spacing w:after="0"/>
        <w:jc w:val="left"/>
        <w:rPr>
          <w:rFonts w:cs="Arial"/>
          <w:sz w:val="18"/>
          <w:szCs w:val="18"/>
        </w:rPr>
      </w:pPr>
      <w:r>
        <w:rPr>
          <w:rFonts w:cs="Arial"/>
          <w:sz w:val="18"/>
          <w:szCs w:val="18"/>
        </w:rPr>
        <w:t>Damage more specifically insured by you on your behalf.</w:t>
      </w:r>
    </w:p>
    <w:p w14:paraId="3F01DC52" w14:textId="77777777" w:rsidR="001D20FB" w:rsidRDefault="001D20FB" w:rsidP="001D20FB">
      <w:pPr>
        <w:numPr>
          <w:ilvl w:val="0"/>
          <w:numId w:val="28"/>
        </w:numPr>
        <w:spacing w:after="0"/>
        <w:jc w:val="left"/>
        <w:rPr>
          <w:rFonts w:cs="Arial"/>
          <w:sz w:val="18"/>
          <w:szCs w:val="18"/>
        </w:rPr>
      </w:pPr>
      <w:r>
        <w:rPr>
          <w:rFonts w:cs="Arial"/>
          <w:sz w:val="18"/>
          <w:szCs w:val="18"/>
        </w:rPr>
        <w:t>Damage by pressure waves from aircraft or aerial devices.</w:t>
      </w:r>
    </w:p>
    <w:p w14:paraId="456DFFBE" w14:textId="77777777" w:rsidR="001D20FB" w:rsidRDefault="001D20FB" w:rsidP="001D20FB">
      <w:pPr>
        <w:numPr>
          <w:ilvl w:val="0"/>
          <w:numId w:val="28"/>
        </w:numPr>
        <w:spacing w:after="0"/>
        <w:jc w:val="left"/>
        <w:rPr>
          <w:rFonts w:cs="Arial"/>
          <w:sz w:val="18"/>
          <w:szCs w:val="18"/>
        </w:rPr>
      </w:pPr>
      <w:r>
        <w:rPr>
          <w:rFonts w:cs="Arial"/>
          <w:sz w:val="18"/>
          <w:szCs w:val="18"/>
        </w:rPr>
        <w:t>Damage caused by or consisting of acts of fraud or dishonesty, as a result of disappearance, unexplained or inventory shortage, misfiling, misplacing of information or clerical error.</w:t>
      </w:r>
    </w:p>
    <w:p w14:paraId="27F90094" w14:textId="77777777" w:rsidR="001D20FB" w:rsidRDefault="001D20FB" w:rsidP="001D20FB">
      <w:pPr>
        <w:numPr>
          <w:ilvl w:val="0"/>
          <w:numId w:val="28"/>
        </w:numPr>
        <w:spacing w:after="0"/>
        <w:jc w:val="left"/>
        <w:rPr>
          <w:rFonts w:cs="Arial"/>
          <w:sz w:val="18"/>
          <w:szCs w:val="18"/>
        </w:rPr>
      </w:pPr>
      <w:r>
        <w:rPr>
          <w:rFonts w:cs="Arial"/>
          <w:sz w:val="18"/>
          <w:szCs w:val="18"/>
        </w:rPr>
        <w:t xml:space="preserve">In respect of subsidence </w:t>
      </w:r>
      <w:r>
        <w:rPr>
          <w:rFonts w:cs="Arial"/>
          <w:sz w:val="18"/>
          <w:szCs w:val="18"/>
          <w:lang w:val="en-US"/>
        </w:rPr>
        <w:t xml:space="preserve">we will only indemnify you in respect of Damage to </w:t>
      </w:r>
      <w:r>
        <w:rPr>
          <w:rFonts w:cs="Arial"/>
          <w:sz w:val="18"/>
          <w:szCs w:val="18"/>
        </w:rPr>
        <w:t xml:space="preserve">forecourts, car parks, driveways, footpaths, swimming pools, terraces or patios, walls, gates, hedges or fences if such property is specifically insured by this Section and if Damage also occurs to the building to which such property applies and that building is insured by this Section. </w:t>
      </w:r>
    </w:p>
    <w:p w14:paraId="1697FE77" w14:textId="77777777" w:rsidR="001D20FB" w:rsidRDefault="001D20FB" w:rsidP="001D20FB">
      <w:pPr>
        <w:numPr>
          <w:ilvl w:val="0"/>
          <w:numId w:val="28"/>
        </w:numPr>
        <w:spacing w:after="0"/>
        <w:jc w:val="left"/>
        <w:rPr>
          <w:rFonts w:cs="Arial"/>
          <w:sz w:val="18"/>
          <w:szCs w:val="18"/>
        </w:rPr>
      </w:pPr>
      <w:r>
        <w:rPr>
          <w:rFonts w:cs="Arial"/>
          <w:sz w:val="18"/>
          <w:szCs w:val="18"/>
        </w:rPr>
        <w:t xml:space="preserve">We will not indemnify you in respect of </w:t>
      </w:r>
      <w:r w:rsidR="00732061" w:rsidRPr="006C3767">
        <w:rPr>
          <w:rFonts w:cs="Arial"/>
          <w:sz w:val="18"/>
          <w:szCs w:val="18"/>
        </w:rPr>
        <w:t>D</w:t>
      </w:r>
      <w:r w:rsidRPr="006C3767">
        <w:rPr>
          <w:rFonts w:cs="Arial"/>
          <w:sz w:val="18"/>
          <w:szCs w:val="18"/>
        </w:rPr>
        <w:t>amage caused by collapse or cracking, shrinking or settlement of any building, coastal or river erosion, d</w:t>
      </w:r>
      <w:r>
        <w:rPr>
          <w:rFonts w:cs="Arial"/>
          <w:sz w:val="18"/>
          <w:szCs w:val="18"/>
        </w:rPr>
        <w:t>efective design or inadequate construction of foundations, demolition, structural alteration or repair, settlement or movement of made up ground and damage as a result of movement of solid floor slabs.</w:t>
      </w:r>
    </w:p>
    <w:p w14:paraId="6009E6C2" w14:textId="77777777" w:rsidR="001D20FB" w:rsidRDefault="001D20FB" w:rsidP="001D20FB">
      <w:pPr>
        <w:spacing w:after="0"/>
        <w:rPr>
          <w:rFonts w:cs="Arial"/>
          <w:b/>
          <w:sz w:val="18"/>
          <w:szCs w:val="18"/>
        </w:rPr>
      </w:pPr>
    </w:p>
    <w:p w14:paraId="76E67DE9" w14:textId="77777777" w:rsidR="001D20FB" w:rsidRDefault="001D20FB" w:rsidP="001D20FB">
      <w:pPr>
        <w:rPr>
          <w:rFonts w:cs="Arial"/>
          <w:b/>
          <w:sz w:val="18"/>
          <w:szCs w:val="18"/>
        </w:rPr>
      </w:pPr>
      <w:r>
        <w:rPr>
          <w:rFonts w:cs="Arial"/>
          <w:b/>
          <w:sz w:val="18"/>
          <w:szCs w:val="18"/>
        </w:rPr>
        <w:t>Key extensions included are:</w:t>
      </w:r>
    </w:p>
    <w:p w14:paraId="037940E5" w14:textId="77777777" w:rsidR="001D20FB" w:rsidRPr="006C3767" w:rsidRDefault="001D20FB" w:rsidP="001D20FB">
      <w:pPr>
        <w:numPr>
          <w:ilvl w:val="0"/>
          <w:numId w:val="26"/>
        </w:numPr>
        <w:tabs>
          <w:tab w:val="clear" w:pos="720"/>
          <w:tab w:val="num" w:pos="360"/>
        </w:tabs>
        <w:spacing w:after="0"/>
        <w:ind w:left="360"/>
        <w:jc w:val="left"/>
        <w:rPr>
          <w:rFonts w:cs="Arial"/>
          <w:sz w:val="18"/>
          <w:szCs w:val="18"/>
        </w:rPr>
      </w:pPr>
      <w:r>
        <w:rPr>
          <w:rFonts w:cs="Arial"/>
          <w:sz w:val="18"/>
          <w:szCs w:val="18"/>
        </w:rPr>
        <w:t xml:space="preserve">Index Linking - The sums insured are adjusted on a daily basis according to the </w:t>
      </w:r>
      <w:r w:rsidR="00732061" w:rsidRPr="006C3767">
        <w:rPr>
          <w:rFonts w:cs="Arial"/>
          <w:sz w:val="18"/>
          <w:szCs w:val="18"/>
        </w:rPr>
        <w:t>General Building</w:t>
      </w:r>
      <w:r w:rsidRPr="006C3767">
        <w:rPr>
          <w:rFonts w:cs="Arial"/>
          <w:sz w:val="18"/>
          <w:szCs w:val="18"/>
        </w:rPr>
        <w:t xml:space="preserve"> Cost Index.</w:t>
      </w:r>
    </w:p>
    <w:p w14:paraId="5DBB3E5F" w14:textId="77777777" w:rsidR="001D20FB" w:rsidRPr="006C3767" w:rsidRDefault="001D20FB" w:rsidP="001D20FB">
      <w:pPr>
        <w:numPr>
          <w:ilvl w:val="0"/>
          <w:numId w:val="26"/>
        </w:numPr>
        <w:tabs>
          <w:tab w:val="clear" w:pos="720"/>
          <w:tab w:val="num" w:pos="360"/>
        </w:tabs>
        <w:spacing w:after="0"/>
        <w:ind w:left="360"/>
        <w:jc w:val="left"/>
        <w:rPr>
          <w:rFonts w:cs="Arial"/>
          <w:sz w:val="18"/>
          <w:szCs w:val="18"/>
        </w:rPr>
      </w:pPr>
      <w:r w:rsidRPr="006C3767">
        <w:rPr>
          <w:rFonts w:cs="Arial"/>
          <w:sz w:val="18"/>
          <w:szCs w:val="18"/>
        </w:rPr>
        <w:t>Changing Locks - The cost of replacing locks or keys up to £5,000.</w:t>
      </w:r>
    </w:p>
    <w:p w14:paraId="7354B0A7" w14:textId="77777777" w:rsidR="001D20FB" w:rsidRDefault="001D20FB" w:rsidP="001D20FB">
      <w:pPr>
        <w:numPr>
          <w:ilvl w:val="0"/>
          <w:numId w:val="26"/>
        </w:numPr>
        <w:tabs>
          <w:tab w:val="clear" w:pos="720"/>
          <w:tab w:val="num" w:pos="360"/>
        </w:tabs>
        <w:spacing w:after="0"/>
        <w:ind w:left="360"/>
        <w:jc w:val="left"/>
        <w:rPr>
          <w:rFonts w:cs="Arial"/>
          <w:sz w:val="18"/>
          <w:szCs w:val="18"/>
        </w:rPr>
      </w:pPr>
      <w:r>
        <w:rPr>
          <w:rFonts w:cs="Arial"/>
          <w:sz w:val="18"/>
          <w:szCs w:val="18"/>
        </w:rPr>
        <w:t>Contractors’ Interest -The Insurer agrees to note the interest of any contractor or sub-contractor provided that</w:t>
      </w:r>
      <w:r>
        <w:rPr>
          <w:rFonts w:cs="Arial"/>
          <w:color w:val="FF0000"/>
          <w:sz w:val="18"/>
          <w:szCs w:val="18"/>
        </w:rPr>
        <w:t xml:space="preserve"> </w:t>
      </w:r>
      <w:r>
        <w:rPr>
          <w:rFonts w:cs="Arial"/>
          <w:sz w:val="18"/>
          <w:szCs w:val="18"/>
        </w:rPr>
        <w:t>any contracts valued at £500,000 or above are advised to the Insurer prior to the commencement of work.</w:t>
      </w:r>
    </w:p>
    <w:p w14:paraId="1309F753" w14:textId="77777777" w:rsidR="001D20FB" w:rsidRPr="006C3767" w:rsidRDefault="001D20FB" w:rsidP="001D20FB">
      <w:pPr>
        <w:numPr>
          <w:ilvl w:val="0"/>
          <w:numId w:val="26"/>
        </w:numPr>
        <w:tabs>
          <w:tab w:val="clear" w:pos="720"/>
          <w:tab w:val="num" w:pos="360"/>
        </w:tabs>
        <w:spacing w:after="0"/>
        <w:ind w:left="360"/>
        <w:jc w:val="left"/>
        <w:rPr>
          <w:rFonts w:cs="Arial"/>
          <w:sz w:val="18"/>
          <w:szCs w:val="18"/>
        </w:rPr>
      </w:pPr>
      <w:r>
        <w:rPr>
          <w:rFonts w:cs="Arial"/>
          <w:sz w:val="18"/>
          <w:szCs w:val="18"/>
        </w:rPr>
        <w:t xml:space="preserve">Damage to Grounds - Damage to landscaped grounds as a consequence of damage to the </w:t>
      </w:r>
      <w:r w:rsidR="007B62B6" w:rsidRPr="006C3767">
        <w:rPr>
          <w:rFonts w:cs="Arial"/>
          <w:sz w:val="18"/>
          <w:szCs w:val="18"/>
        </w:rPr>
        <w:t>P</w:t>
      </w:r>
      <w:r w:rsidRPr="006C3767">
        <w:rPr>
          <w:rFonts w:cs="Arial"/>
          <w:sz w:val="18"/>
          <w:szCs w:val="18"/>
        </w:rPr>
        <w:t xml:space="preserve">roperty </w:t>
      </w:r>
      <w:r w:rsidR="007B62B6" w:rsidRPr="006C3767">
        <w:rPr>
          <w:rFonts w:cs="Arial"/>
          <w:sz w:val="18"/>
          <w:szCs w:val="18"/>
        </w:rPr>
        <w:t>I</w:t>
      </w:r>
      <w:r w:rsidRPr="006C3767">
        <w:rPr>
          <w:rFonts w:cs="Arial"/>
          <w:sz w:val="18"/>
          <w:szCs w:val="18"/>
        </w:rPr>
        <w:t>nsured up to a maximum</w:t>
      </w:r>
      <w:r w:rsidRPr="006C3767">
        <w:rPr>
          <w:rFonts w:cs="Arial"/>
          <w:color w:val="FF0000"/>
          <w:sz w:val="18"/>
          <w:szCs w:val="18"/>
        </w:rPr>
        <w:t xml:space="preserve"> </w:t>
      </w:r>
      <w:r w:rsidRPr="006C3767">
        <w:rPr>
          <w:rFonts w:cs="Arial"/>
          <w:sz w:val="18"/>
          <w:szCs w:val="18"/>
        </w:rPr>
        <w:t>amount of £25,000 for any one claim.</w:t>
      </w:r>
    </w:p>
    <w:p w14:paraId="0061D9FD" w14:textId="77777777" w:rsidR="001D20FB" w:rsidRDefault="001D20FB" w:rsidP="001D20FB">
      <w:pPr>
        <w:numPr>
          <w:ilvl w:val="0"/>
          <w:numId w:val="26"/>
        </w:numPr>
        <w:tabs>
          <w:tab w:val="clear" w:pos="720"/>
          <w:tab w:val="num" w:pos="360"/>
        </w:tabs>
        <w:spacing w:after="0"/>
        <w:ind w:left="360"/>
        <w:jc w:val="left"/>
        <w:rPr>
          <w:rFonts w:cs="Arial"/>
          <w:sz w:val="18"/>
          <w:szCs w:val="18"/>
        </w:rPr>
      </w:pPr>
      <w:r>
        <w:rPr>
          <w:rFonts w:cs="Arial"/>
          <w:sz w:val="18"/>
          <w:szCs w:val="18"/>
        </w:rPr>
        <w:t>Drains - Reasonable costs following</w:t>
      </w:r>
      <w:r>
        <w:rPr>
          <w:rFonts w:cs="Arial"/>
          <w:color w:val="FF0000"/>
          <w:sz w:val="18"/>
          <w:szCs w:val="18"/>
        </w:rPr>
        <w:t xml:space="preserve"> </w:t>
      </w:r>
      <w:r>
        <w:rPr>
          <w:rFonts w:cs="Arial"/>
          <w:sz w:val="18"/>
          <w:szCs w:val="18"/>
        </w:rPr>
        <w:t>Damage to the property insured</w:t>
      </w:r>
      <w:r>
        <w:rPr>
          <w:rFonts w:cs="Arial"/>
          <w:color w:val="FF0000"/>
          <w:sz w:val="18"/>
          <w:szCs w:val="18"/>
        </w:rPr>
        <w:t xml:space="preserve"> </w:t>
      </w:r>
      <w:r>
        <w:rPr>
          <w:rFonts w:cs="Arial"/>
          <w:sz w:val="18"/>
          <w:szCs w:val="18"/>
        </w:rPr>
        <w:t>in cleaning and/or clearing drains, gutters and sewers.</w:t>
      </w:r>
    </w:p>
    <w:p w14:paraId="44F4602E" w14:textId="77777777" w:rsidR="001D20FB" w:rsidRDefault="001D20FB" w:rsidP="001D20FB">
      <w:pPr>
        <w:numPr>
          <w:ilvl w:val="0"/>
          <w:numId w:val="26"/>
        </w:numPr>
        <w:tabs>
          <w:tab w:val="clear" w:pos="720"/>
          <w:tab w:val="num" w:pos="360"/>
        </w:tabs>
        <w:spacing w:after="0"/>
        <w:ind w:left="360"/>
        <w:jc w:val="left"/>
        <w:rPr>
          <w:rFonts w:cs="Arial"/>
          <w:sz w:val="18"/>
          <w:szCs w:val="18"/>
        </w:rPr>
      </w:pPr>
      <w:r>
        <w:rPr>
          <w:rFonts w:cs="Arial"/>
          <w:sz w:val="18"/>
          <w:szCs w:val="18"/>
        </w:rPr>
        <w:t xml:space="preserve">European Union and Public Authorities – Undamaged Property - Subject to the sums insured being adequate, the Insurer agrees to pay the additional cost of reinstating the Property Insured following Damage, including any undamaged portions, necessary to comply with European Union </w:t>
      </w:r>
      <w:r w:rsidR="007B62B6" w:rsidRPr="006C3767">
        <w:rPr>
          <w:rFonts w:cs="Arial"/>
          <w:sz w:val="18"/>
          <w:szCs w:val="18"/>
        </w:rPr>
        <w:t>l</w:t>
      </w:r>
      <w:r>
        <w:rPr>
          <w:rFonts w:cs="Arial"/>
          <w:sz w:val="18"/>
          <w:szCs w:val="18"/>
        </w:rPr>
        <w:t>egislation, Act of Parliament or Bye-Laws of any public authority.</w:t>
      </w:r>
    </w:p>
    <w:p w14:paraId="6E1A9110" w14:textId="77777777" w:rsidR="001D20FB" w:rsidRPr="006C3767" w:rsidRDefault="001D20FB" w:rsidP="001D20FB">
      <w:pPr>
        <w:numPr>
          <w:ilvl w:val="0"/>
          <w:numId w:val="26"/>
        </w:numPr>
        <w:tabs>
          <w:tab w:val="clear" w:pos="720"/>
          <w:tab w:val="num" w:pos="360"/>
        </w:tabs>
        <w:spacing w:after="0"/>
        <w:ind w:left="360"/>
        <w:jc w:val="left"/>
        <w:rPr>
          <w:rFonts w:cs="Arial"/>
          <w:sz w:val="18"/>
          <w:szCs w:val="18"/>
        </w:rPr>
      </w:pPr>
      <w:r w:rsidRPr="006C3767">
        <w:rPr>
          <w:rFonts w:cs="Arial"/>
          <w:sz w:val="18"/>
          <w:szCs w:val="18"/>
        </w:rPr>
        <w:t>Loss of Metered Utilities - Loss of metered water, gas, electricity</w:t>
      </w:r>
      <w:r w:rsidR="006C3767" w:rsidRPr="006C3767">
        <w:rPr>
          <w:rFonts w:cs="Arial"/>
          <w:sz w:val="18"/>
          <w:szCs w:val="18"/>
        </w:rPr>
        <w:t xml:space="preserve"> </w:t>
      </w:r>
      <w:r w:rsidR="007B62B6" w:rsidRPr="006C3767">
        <w:rPr>
          <w:rFonts w:cs="Arial"/>
          <w:sz w:val="18"/>
          <w:szCs w:val="18"/>
        </w:rPr>
        <w:t>or oil</w:t>
      </w:r>
      <w:r w:rsidRPr="006C3767">
        <w:rPr>
          <w:rFonts w:cs="Arial"/>
          <w:sz w:val="18"/>
          <w:szCs w:val="18"/>
        </w:rPr>
        <w:t xml:space="preserve"> charges up to a limit of £25,000 for any one claim.</w:t>
      </w:r>
    </w:p>
    <w:p w14:paraId="0C3BFE90" w14:textId="77777777" w:rsidR="001D20FB" w:rsidRPr="006C3767" w:rsidRDefault="001D20FB" w:rsidP="001D20FB">
      <w:pPr>
        <w:numPr>
          <w:ilvl w:val="0"/>
          <w:numId w:val="26"/>
        </w:numPr>
        <w:tabs>
          <w:tab w:val="clear" w:pos="720"/>
          <w:tab w:val="num" w:pos="360"/>
        </w:tabs>
        <w:spacing w:after="0"/>
        <w:ind w:left="360"/>
        <w:jc w:val="left"/>
        <w:rPr>
          <w:rFonts w:cs="Arial"/>
          <w:sz w:val="18"/>
          <w:szCs w:val="18"/>
        </w:rPr>
      </w:pPr>
      <w:r>
        <w:rPr>
          <w:rFonts w:cs="Arial"/>
          <w:sz w:val="18"/>
          <w:szCs w:val="18"/>
        </w:rPr>
        <w:lastRenderedPageBreak/>
        <w:t>Loss of Rent and Alternative Accommodation - The cost of providing loss of ren</w:t>
      </w:r>
      <w:r w:rsidRPr="006C3767">
        <w:rPr>
          <w:rFonts w:cs="Arial"/>
          <w:sz w:val="18"/>
          <w:szCs w:val="18"/>
        </w:rPr>
        <w:t>t</w:t>
      </w:r>
      <w:r w:rsidR="00292118" w:rsidRPr="006C3767">
        <w:rPr>
          <w:rFonts w:cs="Arial"/>
          <w:sz w:val="18"/>
          <w:szCs w:val="18"/>
        </w:rPr>
        <w:t>,</w:t>
      </w:r>
      <w:r w:rsidRPr="006C3767">
        <w:rPr>
          <w:rFonts w:cs="Arial"/>
          <w:sz w:val="18"/>
          <w:szCs w:val="18"/>
        </w:rPr>
        <w:t xml:space="preserve"> or alternative accommodation for residential portions of the premises</w:t>
      </w:r>
      <w:r w:rsidR="00292118" w:rsidRPr="006C3767">
        <w:rPr>
          <w:rFonts w:cs="Arial"/>
          <w:sz w:val="18"/>
          <w:szCs w:val="18"/>
        </w:rPr>
        <w:t>,</w:t>
      </w:r>
      <w:r w:rsidRPr="006C3767">
        <w:rPr>
          <w:rFonts w:cs="Arial"/>
          <w:sz w:val="18"/>
          <w:szCs w:val="18"/>
        </w:rPr>
        <w:t xml:space="preserve"> up to 25% of the </w:t>
      </w:r>
      <w:r w:rsidR="007B62B6" w:rsidRPr="006C3767">
        <w:rPr>
          <w:rFonts w:cs="Arial"/>
          <w:sz w:val="18"/>
          <w:szCs w:val="18"/>
        </w:rPr>
        <w:t>S</w:t>
      </w:r>
      <w:r w:rsidRPr="006C3767">
        <w:rPr>
          <w:rFonts w:cs="Arial"/>
          <w:sz w:val="18"/>
          <w:szCs w:val="18"/>
        </w:rPr>
        <w:t xml:space="preserve">um </w:t>
      </w:r>
      <w:r w:rsidR="007B62B6" w:rsidRPr="006C3767">
        <w:rPr>
          <w:rFonts w:cs="Arial"/>
          <w:sz w:val="18"/>
          <w:szCs w:val="18"/>
        </w:rPr>
        <w:t>I</w:t>
      </w:r>
      <w:r w:rsidRPr="006C3767">
        <w:rPr>
          <w:rFonts w:cs="Arial"/>
          <w:sz w:val="18"/>
          <w:szCs w:val="18"/>
        </w:rPr>
        <w:t>nsured of the building damaged.</w:t>
      </w:r>
    </w:p>
    <w:p w14:paraId="74A19594" w14:textId="77777777" w:rsidR="001D20FB" w:rsidRDefault="001D20FB" w:rsidP="001D20FB">
      <w:pPr>
        <w:numPr>
          <w:ilvl w:val="0"/>
          <w:numId w:val="26"/>
        </w:numPr>
        <w:tabs>
          <w:tab w:val="clear" w:pos="720"/>
          <w:tab w:val="num" w:pos="360"/>
        </w:tabs>
        <w:spacing w:after="0"/>
        <w:ind w:left="360"/>
        <w:jc w:val="left"/>
        <w:rPr>
          <w:rFonts w:cs="Arial"/>
          <w:sz w:val="18"/>
          <w:szCs w:val="18"/>
        </w:rPr>
      </w:pPr>
      <w:r>
        <w:rPr>
          <w:rFonts w:cs="Arial"/>
          <w:sz w:val="18"/>
          <w:szCs w:val="18"/>
        </w:rPr>
        <w:t>Risk Protections Equipment Replacement Costs - Reasonable costs for the refilling or replacement of</w:t>
      </w:r>
      <w:r w:rsidR="007B62B6">
        <w:rPr>
          <w:rFonts w:cs="Arial"/>
          <w:sz w:val="18"/>
          <w:szCs w:val="18"/>
        </w:rPr>
        <w:t xml:space="preserve"> </w:t>
      </w:r>
      <w:r w:rsidR="007B62B6" w:rsidRPr="006C3767">
        <w:rPr>
          <w:rFonts w:cs="Arial"/>
          <w:sz w:val="18"/>
          <w:szCs w:val="18"/>
        </w:rPr>
        <w:t>portable</w:t>
      </w:r>
      <w:r>
        <w:rPr>
          <w:rFonts w:cs="Arial"/>
          <w:sz w:val="18"/>
          <w:szCs w:val="18"/>
        </w:rPr>
        <w:t xml:space="preserve"> fire extinguishing appliances, fire suppression systems and sprinkler installations up to a limit of £25,000 for any one claim.</w:t>
      </w:r>
    </w:p>
    <w:p w14:paraId="75F4429A" w14:textId="77777777" w:rsidR="001D20FB" w:rsidRPr="00032CB0" w:rsidRDefault="001D20FB" w:rsidP="001D20FB">
      <w:pPr>
        <w:numPr>
          <w:ilvl w:val="0"/>
          <w:numId w:val="26"/>
        </w:numPr>
        <w:tabs>
          <w:tab w:val="clear" w:pos="720"/>
          <w:tab w:val="num" w:pos="360"/>
        </w:tabs>
        <w:spacing w:after="0"/>
        <w:ind w:left="360"/>
        <w:jc w:val="left"/>
        <w:rPr>
          <w:rFonts w:cs="Arial"/>
          <w:sz w:val="18"/>
          <w:szCs w:val="18"/>
        </w:rPr>
      </w:pPr>
      <w:r w:rsidRPr="00032CB0">
        <w:rPr>
          <w:rFonts w:cs="Arial"/>
          <w:sz w:val="18"/>
          <w:szCs w:val="18"/>
        </w:rPr>
        <w:t xml:space="preserve">Trace and Access - Costs incurred in tracing the source of damage to </w:t>
      </w:r>
      <w:r w:rsidR="007B62B6" w:rsidRPr="00032CB0">
        <w:rPr>
          <w:rFonts w:cs="Arial"/>
          <w:sz w:val="18"/>
          <w:szCs w:val="18"/>
        </w:rPr>
        <w:t xml:space="preserve">any </w:t>
      </w:r>
      <w:r w:rsidRPr="00032CB0">
        <w:rPr>
          <w:rFonts w:cs="Arial"/>
          <w:sz w:val="18"/>
          <w:szCs w:val="18"/>
        </w:rPr>
        <w:t>water</w:t>
      </w:r>
      <w:r w:rsidR="007B62B6" w:rsidRPr="00032CB0">
        <w:rPr>
          <w:rFonts w:cs="Arial"/>
          <w:sz w:val="18"/>
          <w:szCs w:val="18"/>
        </w:rPr>
        <w:t xml:space="preserve"> tank, apparatus </w:t>
      </w:r>
      <w:proofErr w:type="gramStart"/>
      <w:r w:rsidR="007B62B6" w:rsidRPr="00032CB0">
        <w:rPr>
          <w:rFonts w:cs="Arial"/>
          <w:sz w:val="18"/>
          <w:szCs w:val="18"/>
        </w:rPr>
        <w:t xml:space="preserve">or </w:t>
      </w:r>
      <w:r w:rsidRPr="00032CB0">
        <w:rPr>
          <w:rFonts w:cs="Arial"/>
          <w:sz w:val="18"/>
          <w:szCs w:val="18"/>
        </w:rPr>
        <w:t xml:space="preserve"> pipe</w:t>
      </w:r>
      <w:proofErr w:type="gramEnd"/>
      <w:r w:rsidR="006C3767" w:rsidRPr="00032CB0">
        <w:rPr>
          <w:rFonts w:cs="Arial"/>
          <w:sz w:val="18"/>
          <w:szCs w:val="18"/>
        </w:rPr>
        <w:t xml:space="preserve"> </w:t>
      </w:r>
      <w:r w:rsidR="007B62B6" w:rsidRPr="00032CB0">
        <w:rPr>
          <w:rFonts w:cs="Arial"/>
          <w:sz w:val="18"/>
          <w:szCs w:val="18"/>
        </w:rPr>
        <w:t>or leak</w:t>
      </w:r>
      <w:r w:rsidR="00E43B33" w:rsidRPr="00032CB0">
        <w:rPr>
          <w:rFonts w:cs="Arial"/>
          <w:sz w:val="18"/>
          <w:szCs w:val="18"/>
        </w:rPr>
        <w:t>age of fuel from any fixed oil heating installation</w:t>
      </w:r>
      <w:r w:rsidRPr="00032CB0">
        <w:rPr>
          <w:rFonts w:cs="Arial"/>
          <w:sz w:val="18"/>
          <w:szCs w:val="18"/>
        </w:rPr>
        <w:t xml:space="preserve"> up to a maximum amount of £50,000 for any one claim.</w:t>
      </w:r>
    </w:p>
    <w:p w14:paraId="36AC0741" w14:textId="77777777" w:rsidR="001D20FB" w:rsidRDefault="001D20FB" w:rsidP="001D20FB">
      <w:pPr>
        <w:spacing w:after="0"/>
        <w:rPr>
          <w:rFonts w:cs="Arial"/>
          <w:b/>
          <w:sz w:val="18"/>
          <w:szCs w:val="18"/>
        </w:rPr>
      </w:pPr>
    </w:p>
    <w:p w14:paraId="009F2574" w14:textId="77777777" w:rsidR="001D20FB" w:rsidRDefault="001D20FB" w:rsidP="001D20FB">
      <w:pPr>
        <w:rPr>
          <w:rFonts w:cs="Arial"/>
          <w:b/>
          <w:sz w:val="18"/>
          <w:szCs w:val="18"/>
        </w:rPr>
      </w:pPr>
      <w:r>
        <w:rPr>
          <w:rFonts w:cs="Arial"/>
          <w:b/>
          <w:sz w:val="18"/>
          <w:szCs w:val="18"/>
        </w:rPr>
        <w:t xml:space="preserve">Key Conditions included are; </w:t>
      </w:r>
    </w:p>
    <w:p w14:paraId="746C88A3" w14:textId="77777777" w:rsidR="001D20FB" w:rsidRDefault="001D20FB" w:rsidP="001D20FB">
      <w:pPr>
        <w:numPr>
          <w:ilvl w:val="0"/>
          <w:numId w:val="30"/>
        </w:numPr>
        <w:spacing w:after="0"/>
        <w:jc w:val="left"/>
        <w:rPr>
          <w:rFonts w:cs="Arial"/>
          <w:sz w:val="18"/>
          <w:szCs w:val="18"/>
        </w:rPr>
      </w:pPr>
      <w:r w:rsidRPr="00DE05BF">
        <w:rPr>
          <w:rFonts w:cs="Arial"/>
          <w:sz w:val="18"/>
          <w:szCs w:val="18"/>
        </w:rPr>
        <w:t xml:space="preserve">Asset Protection Property Damage – Long Term Unoccupied </w:t>
      </w:r>
      <w:r>
        <w:rPr>
          <w:rFonts w:cs="Arial"/>
          <w:sz w:val="18"/>
          <w:szCs w:val="18"/>
        </w:rPr>
        <w:t>Definition– any Building or an individual unit in a Building that has been untenanted for a period exceeding 365 days and/or is either empty, void, vacant or disused and is awaiting redevelopment and/or demolition.</w:t>
      </w:r>
    </w:p>
    <w:p w14:paraId="02C2C995" w14:textId="77777777" w:rsidR="001D20FB" w:rsidRDefault="001D20FB" w:rsidP="001D20FB">
      <w:pPr>
        <w:numPr>
          <w:ilvl w:val="0"/>
          <w:numId w:val="30"/>
        </w:numPr>
        <w:spacing w:after="0"/>
        <w:jc w:val="left"/>
        <w:rPr>
          <w:rFonts w:cs="Arial"/>
          <w:sz w:val="18"/>
          <w:szCs w:val="18"/>
        </w:rPr>
      </w:pPr>
      <w:r>
        <w:rPr>
          <w:rFonts w:cs="Arial"/>
          <w:sz w:val="18"/>
          <w:szCs w:val="18"/>
        </w:rPr>
        <w:t xml:space="preserve">Defined Contingencies for Long Term Unoccupied – contingencies </w:t>
      </w:r>
      <w:r w:rsidR="00B60329" w:rsidRPr="00032CB0">
        <w:rPr>
          <w:rFonts w:cs="Arial"/>
          <w:sz w:val="18"/>
          <w:szCs w:val="18"/>
        </w:rPr>
        <w:t>shall be</w:t>
      </w:r>
      <w:r>
        <w:rPr>
          <w:rFonts w:cs="Arial"/>
          <w:sz w:val="18"/>
          <w:szCs w:val="18"/>
        </w:rPr>
        <w:t xml:space="preserve"> Fire, Lightning, Explosion, Aircraft and other Aerial Devices, Earthquake. </w:t>
      </w:r>
    </w:p>
    <w:p w14:paraId="05BC1B98" w14:textId="77777777" w:rsidR="001D20FB" w:rsidRDefault="001D20FB" w:rsidP="001D20FB">
      <w:pPr>
        <w:numPr>
          <w:ilvl w:val="0"/>
          <w:numId w:val="30"/>
        </w:numPr>
        <w:spacing w:after="0"/>
        <w:jc w:val="left"/>
        <w:rPr>
          <w:rFonts w:cs="Arial"/>
          <w:sz w:val="18"/>
          <w:szCs w:val="18"/>
        </w:rPr>
      </w:pPr>
      <w:r>
        <w:rPr>
          <w:rFonts w:cs="Arial"/>
          <w:sz w:val="18"/>
          <w:szCs w:val="18"/>
        </w:rPr>
        <w:t xml:space="preserve">Defined Contingencies for Long Term Unoccupied – excess for any loss is £1,000 or as detailed in the policy schedule, whichever is greater. </w:t>
      </w:r>
    </w:p>
    <w:p w14:paraId="1C7B4E1F" w14:textId="77777777" w:rsidR="001D20FB" w:rsidRDefault="001D20FB" w:rsidP="001D20FB">
      <w:pPr>
        <w:numPr>
          <w:ilvl w:val="0"/>
          <w:numId w:val="30"/>
        </w:numPr>
        <w:spacing w:after="0"/>
        <w:jc w:val="left"/>
        <w:rPr>
          <w:rFonts w:cs="Arial"/>
          <w:sz w:val="18"/>
          <w:szCs w:val="18"/>
        </w:rPr>
      </w:pPr>
      <w:r>
        <w:rPr>
          <w:rFonts w:cs="Arial"/>
          <w:sz w:val="18"/>
          <w:szCs w:val="18"/>
        </w:rPr>
        <w:t xml:space="preserve">Long Term Unoccupied Basis of Claims </w:t>
      </w:r>
      <w:proofErr w:type="gramStart"/>
      <w:r>
        <w:rPr>
          <w:rFonts w:cs="Arial"/>
          <w:sz w:val="18"/>
          <w:szCs w:val="18"/>
        </w:rPr>
        <w:t>Settlement  -</w:t>
      </w:r>
      <w:proofErr w:type="gramEnd"/>
      <w:r>
        <w:rPr>
          <w:rFonts w:cs="Arial"/>
          <w:sz w:val="18"/>
          <w:szCs w:val="18"/>
        </w:rPr>
        <w:t xml:space="preserve"> </w:t>
      </w:r>
      <w:r w:rsidRPr="00032CB0">
        <w:rPr>
          <w:rFonts w:cs="Arial"/>
          <w:sz w:val="18"/>
          <w:szCs w:val="18"/>
        </w:rPr>
        <w:t xml:space="preserve">Indemnity </w:t>
      </w:r>
      <w:r w:rsidR="009D5AA7" w:rsidRPr="00032CB0">
        <w:rPr>
          <w:rFonts w:cs="Arial"/>
          <w:sz w:val="18"/>
          <w:szCs w:val="18"/>
        </w:rPr>
        <w:t>only</w:t>
      </w:r>
      <w:r>
        <w:rPr>
          <w:rFonts w:cs="Arial"/>
          <w:sz w:val="18"/>
          <w:szCs w:val="18"/>
        </w:rPr>
        <w:t xml:space="preserve">. </w:t>
      </w:r>
    </w:p>
    <w:p w14:paraId="4170B2B3" w14:textId="77777777" w:rsidR="001D20FB" w:rsidRDefault="001D20FB" w:rsidP="001D20FB">
      <w:pPr>
        <w:numPr>
          <w:ilvl w:val="0"/>
          <w:numId w:val="30"/>
        </w:numPr>
        <w:spacing w:after="0"/>
        <w:jc w:val="left"/>
        <w:rPr>
          <w:rFonts w:cs="Arial"/>
          <w:sz w:val="18"/>
          <w:szCs w:val="18"/>
        </w:rPr>
      </w:pPr>
      <w:r>
        <w:rPr>
          <w:rFonts w:cs="Arial"/>
          <w:sz w:val="18"/>
          <w:szCs w:val="18"/>
        </w:rPr>
        <w:t xml:space="preserve">Long Term Unoccupied Buildings Awaiting Demolition and Redevelopment – cover </w:t>
      </w:r>
      <w:r w:rsidR="009D5AA7" w:rsidRPr="00032CB0">
        <w:rPr>
          <w:rFonts w:cs="Arial"/>
          <w:sz w:val="18"/>
          <w:szCs w:val="18"/>
        </w:rPr>
        <w:t>is restricted to</w:t>
      </w:r>
      <w:r w:rsidRPr="00032CB0">
        <w:rPr>
          <w:rFonts w:cs="Arial"/>
          <w:sz w:val="18"/>
          <w:szCs w:val="18"/>
        </w:rPr>
        <w:t xml:space="preserve"> r</w:t>
      </w:r>
      <w:r>
        <w:rPr>
          <w:rFonts w:cs="Arial"/>
          <w:sz w:val="18"/>
          <w:szCs w:val="18"/>
        </w:rPr>
        <w:t xml:space="preserve">emoval of debris, dismantling or demolishing, shoring up or propping of the part of the property which have suffered Damage. </w:t>
      </w:r>
    </w:p>
    <w:p w14:paraId="1B845781" w14:textId="77777777" w:rsidR="001D20FB" w:rsidRDefault="001D20FB" w:rsidP="001D20FB">
      <w:pPr>
        <w:numPr>
          <w:ilvl w:val="0"/>
          <w:numId w:val="30"/>
        </w:numPr>
        <w:spacing w:after="0"/>
        <w:jc w:val="left"/>
        <w:rPr>
          <w:rFonts w:cs="Arial"/>
          <w:sz w:val="18"/>
          <w:szCs w:val="18"/>
        </w:rPr>
      </w:pPr>
      <w:r>
        <w:rPr>
          <w:rFonts w:cs="Arial"/>
          <w:sz w:val="18"/>
          <w:szCs w:val="18"/>
        </w:rPr>
        <w:t>Long Term Unoccupied Premises Condition – You must carry out internal and external inspections of the Building at least every 7 days and maintain a weekly log of such inspections, repair any damage or defects, remove all combustible items, securely lock all external doors, secure all windows, seal all letterboxes, turn off all utility supplies (and wherever possible chain and padlock the isolation valves), drain all water and fuel supply tanks</w:t>
      </w:r>
    </w:p>
    <w:p w14:paraId="3F1DC32F" w14:textId="77777777" w:rsidR="001D20FB" w:rsidRPr="00C45E41" w:rsidRDefault="001D20FB" w:rsidP="001D20FB">
      <w:pPr>
        <w:numPr>
          <w:ilvl w:val="0"/>
          <w:numId w:val="30"/>
        </w:numPr>
        <w:spacing w:after="0"/>
        <w:jc w:val="left"/>
        <w:rPr>
          <w:rFonts w:cs="Arial"/>
          <w:b/>
          <w:sz w:val="18"/>
          <w:szCs w:val="18"/>
        </w:rPr>
      </w:pPr>
      <w:r w:rsidRPr="00C45E41">
        <w:rPr>
          <w:rFonts w:cs="Arial"/>
          <w:sz w:val="18"/>
          <w:szCs w:val="18"/>
        </w:rPr>
        <w:t xml:space="preserve">Long Term Unoccupied Premises Condition – where Buildings are protected by either an Intruder Alarm, </w:t>
      </w:r>
      <w:r>
        <w:rPr>
          <w:rFonts w:cs="Arial"/>
          <w:sz w:val="18"/>
          <w:szCs w:val="18"/>
        </w:rPr>
        <w:t xml:space="preserve">CCTV, </w:t>
      </w:r>
      <w:r w:rsidRPr="00C45E41">
        <w:rPr>
          <w:rFonts w:cs="Arial"/>
          <w:sz w:val="18"/>
          <w:szCs w:val="18"/>
        </w:rPr>
        <w:t xml:space="preserve">Fire Detection system or sprinkler installation, </w:t>
      </w:r>
      <w:proofErr w:type="gramStart"/>
      <w:r w:rsidRPr="00C45E41">
        <w:rPr>
          <w:rFonts w:cs="Arial"/>
          <w:sz w:val="18"/>
          <w:szCs w:val="18"/>
        </w:rPr>
        <w:t>You</w:t>
      </w:r>
      <w:proofErr w:type="gramEnd"/>
      <w:r w:rsidRPr="00C45E41">
        <w:rPr>
          <w:rFonts w:cs="Arial"/>
          <w:sz w:val="18"/>
          <w:szCs w:val="18"/>
        </w:rPr>
        <w:t xml:space="preserve"> must provide sufficient power and </w:t>
      </w:r>
      <w:r w:rsidR="009D5AA7" w:rsidRPr="00032CB0">
        <w:rPr>
          <w:rFonts w:cs="Arial"/>
          <w:sz w:val="18"/>
          <w:szCs w:val="18"/>
        </w:rPr>
        <w:t xml:space="preserve">water </w:t>
      </w:r>
      <w:r w:rsidRPr="00032CB0">
        <w:rPr>
          <w:rFonts w:cs="Arial"/>
          <w:sz w:val="18"/>
          <w:szCs w:val="18"/>
        </w:rPr>
        <w:t>s</w:t>
      </w:r>
      <w:r w:rsidRPr="00C45E41">
        <w:rPr>
          <w:rFonts w:cs="Arial"/>
          <w:sz w:val="18"/>
          <w:szCs w:val="18"/>
        </w:rPr>
        <w:t>upplies for their effective operation</w:t>
      </w:r>
      <w:r>
        <w:rPr>
          <w:rFonts w:cs="Arial"/>
          <w:sz w:val="18"/>
          <w:szCs w:val="18"/>
        </w:rPr>
        <w:t xml:space="preserve">.  You must advise the Insurer immediately if the Buildings are to be occupied by contractors for renovation, alteration or conversion purposes. </w:t>
      </w:r>
    </w:p>
    <w:p w14:paraId="73D5BB50" w14:textId="77777777" w:rsidR="001D20FB" w:rsidRDefault="001D20FB" w:rsidP="001D20FB">
      <w:pPr>
        <w:spacing w:after="0"/>
        <w:rPr>
          <w:rFonts w:cs="Arial"/>
          <w:b/>
          <w:sz w:val="18"/>
          <w:szCs w:val="18"/>
        </w:rPr>
      </w:pPr>
    </w:p>
    <w:p w14:paraId="697FD2B6" w14:textId="77777777" w:rsidR="001D20FB" w:rsidRDefault="001D20FB" w:rsidP="001D20FB">
      <w:pPr>
        <w:rPr>
          <w:rFonts w:cs="Arial"/>
          <w:sz w:val="18"/>
          <w:szCs w:val="18"/>
        </w:rPr>
      </w:pPr>
      <w:r>
        <w:rPr>
          <w:rFonts w:cs="Arial"/>
          <w:b/>
          <w:sz w:val="18"/>
          <w:szCs w:val="18"/>
        </w:rPr>
        <w:t>Legal Liabilities –</w:t>
      </w:r>
      <w:r>
        <w:rPr>
          <w:rFonts w:cs="Arial"/>
          <w:sz w:val="18"/>
          <w:szCs w:val="18"/>
        </w:rPr>
        <w:t xml:space="preserve"> </w:t>
      </w:r>
      <w:r>
        <w:rPr>
          <w:rFonts w:cs="Arial"/>
          <w:b/>
          <w:sz w:val="18"/>
          <w:szCs w:val="18"/>
        </w:rPr>
        <w:t>Property Owner’s Liability Cover</w:t>
      </w:r>
    </w:p>
    <w:p w14:paraId="67C38A9F" w14:textId="77777777" w:rsidR="001D20FB" w:rsidRDefault="001D20FB" w:rsidP="001D20FB">
      <w:pPr>
        <w:rPr>
          <w:rFonts w:cs="Arial"/>
          <w:sz w:val="18"/>
          <w:szCs w:val="18"/>
        </w:rPr>
      </w:pPr>
      <w:r>
        <w:rPr>
          <w:rFonts w:cs="Arial"/>
          <w:sz w:val="18"/>
          <w:szCs w:val="18"/>
        </w:rPr>
        <w:t xml:space="preserve">Provides cover in respect of all sums which </w:t>
      </w:r>
      <w:r w:rsidR="009D5AA7" w:rsidRPr="00032CB0">
        <w:rPr>
          <w:rFonts w:cs="Arial"/>
          <w:sz w:val="18"/>
          <w:szCs w:val="18"/>
        </w:rPr>
        <w:t>T</w:t>
      </w:r>
      <w:r w:rsidRPr="00032CB0">
        <w:rPr>
          <w:rFonts w:cs="Arial"/>
          <w:sz w:val="18"/>
          <w:szCs w:val="18"/>
        </w:rPr>
        <w:t>he</w:t>
      </w:r>
      <w:r>
        <w:rPr>
          <w:rFonts w:cs="Arial"/>
          <w:sz w:val="18"/>
          <w:szCs w:val="18"/>
        </w:rPr>
        <w:t xml:space="preserve"> Insured becomes legally liable to pay as </w:t>
      </w:r>
      <w:r w:rsidR="009D5AA7" w:rsidRPr="00032CB0">
        <w:rPr>
          <w:rFonts w:cs="Arial"/>
          <w:sz w:val="18"/>
          <w:szCs w:val="18"/>
        </w:rPr>
        <w:t>C</w:t>
      </w:r>
      <w:r w:rsidRPr="00032CB0">
        <w:rPr>
          <w:rFonts w:cs="Arial"/>
          <w:sz w:val="18"/>
          <w:szCs w:val="18"/>
        </w:rPr>
        <w:t>om</w:t>
      </w:r>
      <w:r>
        <w:rPr>
          <w:rFonts w:cs="Arial"/>
          <w:sz w:val="18"/>
          <w:szCs w:val="18"/>
        </w:rPr>
        <w:t>pensation to third parties, as well as legal expenses and defence costs as a result of accidental</w:t>
      </w:r>
    </w:p>
    <w:p w14:paraId="53A9F54A" w14:textId="77777777" w:rsidR="001D20FB" w:rsidRDefault="001D20FB" w:rsidP="001D20FB">
      <w:pPr>
        <w:numPr>
          <w:ilvl w:val="0"/>
          <w:numId w:val="31"/>
        </w:numPr>
        <w:spacing w:after="0"/>
        <w:jc w:val="left"/>
        <w:rPr>
          <w:rFonts w:cs="Arial"/>
          <w:sz w:val="18"/>
          <w:szCs w:val="18"/>
        </w:rPr>
      </w:pPr>
      <w:r>
        <w:rPr>
          <w:rFonts w:cs="Arial"/>
          <w:sz w:val="18"/>
          <w:szCs w:val="18"/>
        </w:rPr>
        <w:t>Personal Injury</w:t>
      </w:r>
    </w:p>
    <w:p w14:paraId="3A33F791" w14:textId="77777777" w:rsidR="001D20FB" w:rsidRDefault="001D20FB" w:rsidP="001D20FB">
      <w:pPr>
        <w:numPr>
          <w:ilvl w:val="0"/>
          <w:numId w:val="31"/>
        </w:numPr>
        <w:spacing w:after="0"/>
        <w:jc w:val="left"/>
        <w:rPr>
          <w:rFonts w:cs="Arial"/>
          <w:sz w:val="18"/>
          <w:szCs w:val="18"/>
        </w:rPr>
      </w:pPr>
      <w:r>
        <w:rPr>
          <w:rFonts w:cs="Arial"/>
          <w:sz w:val="18"/>
          <w:szCs w:val="18"/>
        </w:rPr>
        <w:t>Damage to Property</w:t>
      </w:r>
    </w:p>
    <w:p w14:paraId="76AD4DCA" w14:textId="77777777" w:rsidR="001D20FB" w:rsidRDefault="001D20FB" w:rsidP="001D20FB">
      <w:pPr>
        <w:numPr>
          <w:ilvl w:val="0"/>
          <w:numId w:val="31"/>
        </w:numPr>
        <w:spacing w:after="0"/>
        <w:jc w:val="left"/>
        <w:rPr>
          <w:rFonts w:cs="Arial"/>
          <w:sz w:val="18"/>
          <w:szCs w:val="18"/>
        </w:rPr>
      </w:pPr>
      <w:r>
        <w:rPr>
          <w:rFonts w:cs="Arial"/>
          <w:sz w:val="18"/>
          <w:szCs w:val="18"/>
        </w:rPr>
        <w:t>Obstruction, Trespass, Nuisance or Interference with any right of way, air, light or water.</w:t>
      </w:r>
    </w:p>
    <w:p w14:paraId="718E2F99" w14:textId="77777777" w:rsidR="009D5AA7" w:rsidRDefault="009D5AA7" w:rsidP="009D5AA7">
      <w:pPr>
        <w:spacing w:after="0"/>
        <w:jc w:val="left"/>
        <w:rPr>
          <w:rFonts w:cs="Arial"/>
          <w:sz w:val="18"/>
          <w:szCs w:val="18"/>
        </w:rPr>
      </w:pPr>
    </w:p>
    <w:p w14:paraId="76C4EC1A" w14:textId="77777777" w:rsidR="009D5AA7" w:rsidRPr="0069064E" w:rsidRDefault="00066F3C" w:rsidP="009D5AA7">
      <w:pPr>
        <w:spacing w:after="0"/>
        <w:jc w:val="left"/>
        <w:rPr>
          <w:rFonts w:cs="Arial"/>
          <w:sz w:val="18"/>
          <w:szCs w:val="18"/>
        </w:rPr>
      </w:pPr>
      <w:r w:rsidRPr="0069064E">
        <w:rPr>
          <w:rFonts w:cs="Arial"/>
          <w:sz w:val="18"/>
          <w:szCs w:val="18"/>
        </w:rPr>
        <w:t>arising from Buildings Defects.</w:t>
      </w:r>
    </w:p>
    <w:p w14:paraId="7BA29475" w14:textId="77777777" w:rsidR="001D20FB" w:rsidRDefault="001D20FB" w:rsidP="001D20FB">
      <w:pPr>
        <w:spacing w:before="240"/>
        <w:rPr>
          <w:rFonts w:cs="Arial"/>
          <w:sz w:val="18"/>
          <w:szCs w:val="18"/>
        </w:rPr>
      </w:pPr>
      <w:r w:rsidRPr="0069064E">
        <w:rPr>
          <w:rFonts w:cs="Arial"/>
          <w:sz w:val="18"/>
          <w:szCs w:val="18"/>
        </w:rPr>
        <w:t>The maximum we will pay is £</w:t>
      </w:r>
      <w:r w:rsidR="0069064E" w:rsidRPr="0069064E">
        <w:rPr>
          <w:rFonts w:cs="Arial"/>
          <w:sz w:val="18"/>
          <w:szCs w:val="18"/>
        </w:rPr>
        <w:t>2</w:t>
      </w:r>
      <w:r w:rsidRPr="0069064E">
        <w:rPr>
          <w:rFonts w:cs="Arial"/>
          <w:sz w:val="18"/>
          <w:szCs w:val="18"/>
        </w:rPr>
        <w:t>,000,000 or as shown in the schedule.</w:t>
      </w:r>
    </w:p>
    <w:p w14:paraId="272645D1" w14:textId="77777777" w:rsidR="001D20FB" w:rsidRDefault="001D20FB" w:rsidP="001D20FB">
      <w:pPr>
        <w:rPr>
          <w:rFonts w:cs="Arial"/>
          <w:b/>
          <w:sz w:val="18"/>
          <w:szCs w:val="18"/>
        </w:rPr>
      </w:pPr>
      <w:r>
        <w:rPr>
          <w:rFonts w:cs="Arial"/>
          <w:b/>
          <w:sz w:val="18"/>
          <w:szCs w:val="18"/>
        </w:rPr>
        <w:t>Extensions included are:</w:t>
      </w:r>
    </w:p>
    <w:p w14:paraId="02511967" w14:textId="77777777" w:rsidR="001D20FB" w:rsidRDefault="001D20FB" w:rsidP="001D20FB">
      <w:pPr>
        <w:numPr>
          <w:ilvl w:val="0"/>
          <w:numId w:val="29"/>
        </w:numPr>
        <w:spacing w:after="0"/>
        <w:jc w:val="left"/>
        <w:rPr>
          <w:rFonts w:cs="Arial"/>
          <w:sz w:val="18"/>
          <w:szCs w:val="18"/>
        </w:rPr>
      </w:pPr>
      <w:r>
        <w:rPr>
          <w:rFonts w:cs="Arial"/>
          <w:sz w:val="18"/>
          <w:szCs w:val="18"/>
        </w:rPr>
        <w:t xml:space="preserve">Defective Premises Act 1972 - Legal liability under the above Act of Parliament arising out of any premises or </w:t>
      </w:r>
      <w:r w:rsidR="00066F3C">
        <w:rPr>
          <w:rFonts w:cs="Arial"/>
          <w:sz w:val="18"/>
          <w:szCs w:val="18"/>
        </w:rPr>
        <w:t xml:space="preserve">land disposed of by the Insured </w:t>
      </w:r>
      <w:r w:rsidR="00066F3C" w:rsidRPr="00032CB0">
        <w:rPr>
          <w:rFonts w:cs="Arial"/>
          <w:sz w:val="18"/>
          <w:szCs w:val="18"/>
        </w:rPr>
        <w:t>previously occupied for the purposes of The Business.</w:t>
      </w:r>
    </w:p>
    <w:p w14:paraId="7C4839EA" w14:textId="77777777" w:rsidR="001D20FB" w:rsidRDefault="001D20FB" w:rsidP="001D20FB">
      <w:pPr>
        <w:numPr>
          <w:ilvl w:val="0"/>
          <w:numId w:val="29"/>
        </w:numPr>
        <w:spacing w:after="0"/>
        <w:jc w:val="left"/>
        <w:rPr>
          <w:rFonts w:cs="Arial"/>
          <w:sz w:val="18"/>
          <w:szCs w:val="18"/>
        </w:rPr>
      </w:pPr>
      <w:r>
        <w:rPr>
          <w:rFonts w:cs="Arial"/>
          <w:sz w:val="18"/>
          <w:szCs w:val="18"/>
        </w:rPr>
        <w:t>Payment for Court Attendance - Compensation for each day of attendance Director or partner £500 per day and Employee £250 per day</w:t>
      </w:r>
    </w:p>
    <w:p w14:paraId="79E2BA5F" w14:textId="77777777" w:rsidR="001D20FB" w:rsidRPr="00013DBD" w:rsidRDefault="001D20FB" w:rsidP="001D20FB">
      <w:pPr>
        <w:numPr>
          <w:ilvl w:val="0"/>
          <w:numId w:val="29"/>
        </w:numPr>
        <w:spacing w:after="0"/>
        <w:jc w:val="left"/>
        <w:rPr>
          <w:rFonts w:cs="Arial"/>
          <w:sz w:val="18"/>
          <w:szCs w:val="18"/>
        </w:rPr>
      </w:pPr>
      <w:r w:rsidRPr="00013DBD">
        <w:rPr>
          <w:rFonts w:cs="Arial"/>
          <w:sz w:val="18"/>
          <w:szCs w:val="18"/>
        </w:rPr>
        <w:t>Legal Expenses arising from Corporate Manslaughter and Corporate Homicide Act 2007</w:t>
      </w:r>
      <w:r w:rsidRPr="00013DBD">
        <w:rPr>
          <w:rFonts w:cs="Arial"/>
          <w:sz w:val="18"/>
          <w:szCs w:val="18"/>
        </w:rPr>
        <w:tab/>
      </w:r>
    </w:p>
    <w:p w14:paraId="0A14C2BB" w14:textId="77777777" w:rsidR="001D20FB" w:rsidRDefault="001D20FB" w:rsidP="001D20FB">
      <w:pPr>
        <w:spacing w:after="120"/>
        <w:rPr>
          <w:rFonts w:cs="Arial"/>
        </w:rPr>
      </w:pPr>
    </w:p>
    <w:p w14:paraId="597F28EB" w14:textId="77777777" w:rsidR="001D20FB" w:rsidRDefault="001D20FB" w:rsidP="001D20FB">
      <w:pPr>
        <w:pStyle w:val="BodyText"/>
        <w:pBdr>
          <w:top w:val="single" w:sz="4" w:space="1" w:color="auto"/>
        </w:pBdr>
        <w:spacing w:after="0"/>
        <w:rPr>
          <w:rFonts w:ascii="Arial" w:hAnsi="Arial" w:cs="Arial"/>
          <w:b/>
        </w:rPr>
      </w:pPr>
    </w:p>
    <w:p w14:paraId="7E51A6EB" w14:textId="77777777" w:rsidR="001D20FB" w:rsidRDefault="001D20FB" w:rsidP="001D20FB">
      <w:pPr>
        <w:pStyle w:val="BodyText"/>
        <w:pBdr>
          <w:top w:val="single" w:sz="4" w:space="1" w:color="auto"/>
        </w:pBdr>
        <w:rPr>
          <w:rFonts w:ascii="Arial" w:hAnsi="Arial" w:cs="Arial"/>
          <w:b/>
        </w:rPr>
      </w:pPr>
      <w:r>
        <w:rPr>
          <w:rFonts w:ascii="Arial" w:hAnsi="Arial" w:cs="Arial"/>
          <w:b/>
        </w:rPr>
        <w:t>This is a summary of cover only - for full terms, conditions and exclusions please see the schedule, endorsements and policy wording.</w:t>
      </w:r>
    </w:p>
    <w:p w14:paraId="1D7D86A0" w14:textId="77777777" w:rsidR="006B4C66" w:rsidRDefault="001D20FB" w:rsidP="001D20FB">
      <w:r w:rsidRPr="00FE0812">
        <w:rPr>
          <w:rFonts w:cs="Arial"/>
          <w:b/>
          <w:sz w:val="18"/>
          <w:szCs w:val="18"/>
        </w:rPr>
        <w:t xml:space="preserve">In the event of a claim or to obtain a copy of the schedule, endorsements and policy wording please </w:t>
      </w:r>
      <w:r w:rsidRPr="007D139A">
        <w:rPr>
          <w:rFonts w:cs="Arial"/>
          <w:b/>
          <w:sz w:val="18"/>
          <w:szCs w:val="18"/>
        </w:rPr>
        <w:t xml:space="preserve">contact Arthur J. Gallagher Insurance Brokers Limited, </w:t>
      </w:r>
      <w:r w:rsidRPr="007D139A">
        <w:rPr>
          <w:rFonts w:cs="Arial"/>
          <w:b/>
          <w:sz w:val="18"/>
          <w:szCs w:val="18"/>
          <w:lang w:val="en-US"/>
        </w:rPr>
        <w:t>27 - 30 Railway Street, Chelmsford, Essex CM1</w:t>
      </w:r>
      <w:r w:rsidR="00DE385F">
        <w:rPr>
          <w:rFonts w:cs="Arial"/>
          <w:b/>
          <w:sz w:val="18"/>
          <w:szCs w:val="18"/>
          <w:lang w:val="en-US"/>
        </w:rPr>
        <w:t> </w:t>
      </w:r>
      <w:r w:rsidRPr="00FE0812">
        <w:rPr>
          <w:rFonts w:cs="Arial"/>
          <w:b/>
          <w:sz w:val="18"/>
          <w:szCs w:val="18"/>
          <w:lang w:val="en-US"/>
        </w:rPr>
        <w:t>1QS</w:t>
      </w:r>
      <w:r w:rsidRPr="00FE0812">
        <w:rPr>
          <w:rFonts w:cs="Arial"/>
          <w:b/>
          <w:sz w:val="18"/>
          <w:szCs w:val="18"/>
        </w:rPr>
        <w:t xml:space="preserve">. </w:t>
      </w:r>
      <w:r w:rsidRPr="00E55870">
        <w:rPr>
          <w:rFonts w:cs="Arial"/>
          <w:b/>
          <w:sz w:val="18"/>
          <w:szCs w:val="18"/>
        </w:rPr>
        <w:t xml:space="preserve">Telephone 01245 </w:t>
      </w:r>
      <w:r w:rsidR="001159C7">
        <w:rPr>
          <w:rFonts w:cs="Arial"/>
          <w:b/>
          <w:sz w:val="18"/>
          <w:szCs w:val="18"/>
        </w:rPr>
        <w:t>341</w:t>
      </w:r>
      <w:r w:rsidR="0069064E">
        <w:rPr>
          <w:rFonts w:cs="Arial"/>
          <w:b/>
          <w:spacing w:val="2"/>
          <w:sz w:val="18"/>
          <w:szCs w:val="20"/>
        </w:rPr>
        <w:t>276</w:t>
      </w:r>
      <w:r>
        <w:rPr>
          <w:rFonts w:cs="Arial"/>
          <w:b/>
          <w:sz w:val="18"/>
          <w:szCs w:val="18"/>
        </w:rPr>
        <w:t xml:space="preserve">  </w:t>
      </w:r>
    </w:p>
    <w:sectPr w:rsidR="006B4C66" w:rsidSect="003A65F3">
      <w:type w:val="continuous"/>
      <w:pgSz w:w="11907" w:h="16839" w:code="9"/>
      <w:pgMar w:top="2304" w:right="1440" w:bottom="1728"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448AC" w14:textId="77777777" w:rsidR="0069064E" w:rsidRDefault="0069064E" w:rsidP="00374DAB">
      <w:r>
        <w:separator/>
      </w:r>
    </w:p>
  </w:endnote>
  <w:endnote w:type="continuationSeparator" w:id="0">
    <w:p w14:paraId="3FEF0BF7" w14:textId="77777777" w:rsidR="0069064E" w:rsidRDefault="0069064E" w:rsidP="0037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NewsGoth BT">
    <w:altName w:val="Trebuchet MS"/>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FEF3" w14:textId="77777777" w:rsidR="00B5302C" w:rsidRPr="00B5302C" w:rsidRDefault="00B5302C" w:rsidP="00A15C08">
    <w:pPr>
      <w:pStyle w:val="Footer"/>
      <w:framePr w:w="605" w:h="274" w:hRule="exact" w:wrap="around" w:vAnchor="page" w:hAnchor="page" w:x="10801" w:y="16129" w:anchorLock="1"/>
      <w:jc w:val="right"/>
      <w:rPr>
        <w:rStyle w:val="PageNumber"/>
        <w:rFonts w:ascii="NewsGoth BT" w:hAnsi="NewsGoth BT"/>
        <w:color w:val="FFFFFF" w:themeColor="background1"/>
      </w:rPr>
    </w:pPr>
    <w:r w:rsidRPr="00B5302C">
      <w:rPr>
        <w:rStyle w:val="PageNumber"/>
        <w:rFonts w:ascii="NewsGoth BT" w:hAnsi="NewsGoth BT"/>
        <w:color w:val="FFFFFF" w:themeColor="background1"/>
      </w:rPr>
      <w:fldChar w:fldCharType="begin"/>
    </w:r>
    <w:r w:rsidRPr="00B5302C">
      <w:rPr>
        <w:rStyle w:val="PageNumber"/>
        <w:rFonts w:ascii="NewsGoth BT" w:hAnsi="NewsGoth BT"/>
        <w:color w:val="FFFFFF" w:themeColor="background1"/>
      </w:rPr>
      <w:instrText xml:space="preserve">PAGE  </w:instrText>
    </w:r>
    <w:r w:rsidRPr="00B5302C">
      <w:rPr>
        <w:rStyle w:val="PageNumber"/>
        <w:rFonts w:ascii="NewsGoth BT" w:hAnsi="NewsGoth BT"/>
        <w:color w:val="FFFFFF" w:themeColor="background1"/>
      </w:rPr>
      <w:fldChar w:fldCharType="separate"/>
    </w:r>
    <w:r w:rsidR="0069064E">
      <w:rPr>
        <w:rStyle w:val="PageNumber"/>
        <w:rFonts w:ascii="NewsGoth BT" w:hAnsi="NewsGoth BT"/>
        <w:noProof/>
        <w:color w:val="FFFFFF" w:themeColor="background1"/>
      </w:rPr>
      <w:t>3</w:t>
    </w:r>
    <w:r w:rsidRPr="00B5302C">
      <w:rPr>
        <w:rStyle w:val="PageNumber"/>
        <w:rFonts w:ascii="NewsGoth BT" w:hAnsi="NewsGoth BT"/>
        <w:color w:val="FFFFFF" w:themeColor="background1"/>
      </w:rPr>
      <w:fldChar w:fldCharType="end"/>
    </w:r>
  </w:p>
  <w:p w14:paraId="6EE88E4F" w14:textId="77777777" w:rsidR="00BD4B32" w:rsidRDefault="00BD4B32" w:rsidP="00BD4B32">
    <w:pPr>
      <w:rPr>
        <w:rStyle w:val="Hyperlink"/>
        <w:rFonts w:eastAsia="Calibri" w:cs="Arial"/>
        <w:sz w:val="16"/>
        <w:szCs w:val="16"/>
      </w:rPr>
    </w:pPr>
    <w:r w:rsidRPr="0081660A">
      <w:rPr>
        <w:rFonts w:eastAsia="Calibri" w:cs="Arial"/>
        <w:color w:val="000000"/>
        <w:sz w:val="16"/>
        <w:szCs w:val="16"/>
      </w:rPr>
      <w:t>Arthur J. Gallagher Insurance Brokers Limited is authorised and regulated by the Financial Conduct Authority. Registered Office: Spectrum Building, 7th Floor, 55 Blythswood Street, Glasgow, G2 7AT. Registered in Scotland. Company Number: SC108909.</w:t>
    </w:r>
    <w:r>
      <w:rPr>
        <w:rFonts w:eastAsia="Calibri" w:cs="Arial"/>
        <w:color w:val="000000"/>
        <w:sz w:val="16"/>
        <w:szCs w:val="16"/>
      </w:rPr>
      <w:t xml:space="preserve"> </w:t>
    </w:r>
    <w:hyperlink r:id="rId1" w:history="1">
      <w:r w:rsidRPr="00D37884">
        <w:rPr>
          <w:rStyle w:val="Hyperlink"/>
          <w:rFonts w:eastAsia="Calibri" w:cs="Arial"/>
          <w:sz w:val="16"/>
          <w:szCs w:val="16"/>
        </w:rPr>
        <w:t>www.ajginternational.com</w:t>
      </w:r>
    </w:hyperlink>
  </w:p>
  <w:p w14:paraId="6AA86B53" w14:textId="77777777" w:rsidR="00DB5F24" w:rsidRPr="00886EF4" w:rsidRDefault="00DC2B1A" w:rsidP="00886EF4">
    <w:pPr>
      <w:pStyle w:val="Footer"/>
      <w:spacing w:after="60"/>
      <w:rPr>
        <w:rFonts w:asciiTheme="minorHAnsi" w:hAnsiTheme="minorHAnsi" w:cstheme="minorHAnsi"/>
        <w:sz w:val="12"/>
        <w:szCs w:val="12"/>
      </w:rPr>
    </w:pPr>
    <w:r>
      <w:rPr>
        <w:rFonts w:asciiTheme="minorHAnsi" w:hAnsiTheme="minorHAnsi" w:cstheme="minorHAnsi"/>
        <w:noProof/>
        <w:sz w:val="12"/>
        <w:szCs w:val="12"/>
        <w:lang w:eastAsia="en-GB"/>
      </w:rPr>
      <w:drawing>
        <wp:anchor distT="0" distB="0" distL="114300" distR="114300" simplePos="0" relativeHeight="251672576" behindDoc="1" locked="1" layoutInCell="1" allowOverlap="1" wp14:anchorId="79079C71" wp14:editId="340980BB">
          <wp:simplePos x="0" y="0"/>
          <wp:positionH relativeFrom="page">
            <wp:align>right</wp:align>
          </wp:positionH>
          <wp:positionV relativeFrom="page">
            <wp:align>bottom</wp:align>
          </wp:positionV>
          <wp:extent cx="3063240" cy="1106170"/>
          <wp:effectExtent l="0" t="0" r="3810" b="0"/>
          <wp:wrapNone/>
          <wp:docPr id="12" name="Picture 12" descr="bottom_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_curve.png"/>
                  <pic:cNvPicPr>
                    <a:picLocks noChangeAspect="1" noChangeArrowheads="1"/>
                  </pic:cNvPicPr>
                </pic:nvPicPr>
                <pic:blipFill rotWithShape="1">
                  <a:blip r:embed="rId2">
                    <a:extLst>
                      <a:ext uri="{28A0092B-C50C-407E-A947-70E740481C1C}">
                        <a14:useLocalDpi xmlns:a14="http://schemas.microsoft.com/office/drawing/2010/main" val="0"/>
                      </a:ext>
                    </a:extLst>
                  </a:blip>
                  <a:srcRect b="22253"/>
                  <a:stretch/>
                </pic:blipFill>
                <pic:spPr bwMode="auto">
                  <a:xfrm>
                    <a:off x="0" y="0"/>
                    <a:ext cx="3063240" cy="1106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77D3" w:rsidRPr="006A2EFE">
      <w:rPr>
        <w:rFonts w:asciiTheme="minorHAnsi" w:hAnsiTheme="minorHAnsi" w:cstheme="minorHAnsi"/>
        <w:noProof/>
        <w:sz w:val="12"/>
        <w:szCs w:val="12"/>
      </w:rPr>
      <w:t>©2018 Arthur J. Gallagher &amp; Co.</w:t>
    </w:r>
    <w:r w:rsidR="008651A8" w:rsidRPr="008651A8">
      <w:rPr>
        <w:rFonts w:asciiTheme="minorHAnsi" w:hAnsiTheme="minorHAnsi" w:cstheme="minorHAnsi"/>
        <w:noProof/>
        <w:sz w:val="12"/>
        <w:szCs w:val="12"/>
      </w:rPr>
      <w:t xml:space="preserve"> </w:t>
    </w:r>
    <w:r w:rsidR="00CC6466">
      <w:rPr>
        <w:rFonts w:asciiTheme="minorHAnsi" w:hAnsiTheme="minorHAnsi" w:cstheme="minorHAnsi"/>
        <w:noProof/>
        <w:sz w:val="12"/>
        <w:szCs w:val="12"/>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98CB3" w14:textId="77777777" w:rsidR="00BD4B32" w:rsidRDefault="00BD4B32" w:rsidP="00886EF4">
    <w:pPr>
      <w:pStyle w:val="AJGFooter1"/>
      <w:rPr>
        <w:rStyle w:val="Hyperlink"/>
      </w:rPr>
    </w:pPr>
    <w:r w:rsidRPr="0081660A">
      <w:t>Arthur J. Gallagher Insurance Brokers Limited is authorised and regulated by the Financial Conduct Authority. Registered Office: Spectrum Building, 7th Floor, 55 Blythswood Street, Glasgow, G2 7AT. Registered in Scotland. Company Number: SC108909.</w:t>
    </w:r>
    <w:r>
      <w:t xml:space="preserve"> </w:t>
    </w:r>
    <w:hyperlink r:id="rId1" w:history="1">
      <w:r w:rsidRPr="00D37884">
        <w:rPr>
          <w:rStyle w:val="Hyperlink"/>
        </w:rPr>
        <w:t>www.ajginternational.com</w:t>
      </w:r>
    </w:hyperlink>
  </w:p>
  <w:p w14:paraId="3B47674D" w14:textId="77777777" w:rsidR="00A730B9" w:rsidRPr="006A2EFE" w:rsidRDefault="00CC6466" w:rsidP="00886EF4">
    <w:pPr>
      <w:pStyle w:val="AJGFooter2"/>
      <w:rPr>
        <w:color w:val="A6A6A6" w:themeColor="background1" w:themeShade="A6"/>
      </w:rPr>
    </w:pPr>
    <w:r w:rsidRPr="006A2EFE">
      <w:t>©2018 Arthur J. Gallagher &amp; Co.</w:t>
    </w:r>
    <w:r w:rsidRPr="008651A8">
      <w:t xml:space="preserve"> </w:t>
    </w:r>
    <w: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99EA2" w14:textId="77777777" w:rsidR="0069064E" w:rsidRDefault="0069064E" w:rsidP="00374DAB">
      <w:r>
        <w:separator/>
      </w:r>
    </w:p>
  </w:footnote>
  <w:footnote w:type="continuationSeparator" w:id="0">
    <w:p w14:paraId="58849814" w14:textId="77777777" w:rsidR="0069064E" w:rsidRDefault="0069064E" w:rsidP="0037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2076F" w14:textId="77777777" w:rsidR="00DE5A78" w:rsidRPr="00954987" w:rsidRDefault="00A622A5" w:rsidP="00886EF4">
    <w:pPr>
      <w:pStyle w:val="Header"/>
    </w:pPr>
    <w:r w:rsidRPr="00954987">
      <w:rPr>
        <w:noProof/>
        <w:lang w:eastAsia="en-GB"/>
      </w:rPr>
      <w:drawing>
        <wp:anchor distT="0" distB="0" distL="114300" distR="114300" simplePos="0" relativeHeight="251669504" behindDoc="1" locked="1" layoutInCell="1" allowOverlap="1" wp14:anchorId="52EDFD19" wp14:editId="0F1378A2">
          <wp:simplePos x="0" y="0"/>
          <wp:positionH relativeFrom="page">
            <wp:posOffset>137160</wp:posOffset>
          </wp:positionH>
          <wp:positionV relativeFrom="page">
            <wp:posOffset>128270</wp:posOffset>
          </wp:positionV>
          <wp:extent cx="2532888" cy="1207008"/>
          <wp:effectExtent l="0" t="0" r="0" b="0"/>
          <wp:wrapNone/>
          <wp:docPr id="11" name="Picture 11" descr="../Gallagher_wTAG_StackedLarge-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agher_wTAG_StackedLarge-3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2888" cy="120700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A949" w14:textId="77777777" w:rsidR="00886EF4" w:rsidRDefault="00886EF4" w:rsidP="00886EF4">
    <w:pPr>
      <w:pStyle w:val="Header"/>
    </w:pPr>
  </w:p>
  <w:p w14:paraId="2E3B13A3" w14:textId="77777777" w:rsidR="00886EF4" w:rsidRDefault="00886EF4" w:rsidP="00886EF4">
    <w:pPr>
      <w:pStyle w:val="Header"/>
    </w:pPr>
  </w:p>
  <w:p w14:paraId="2B6D1DF2" w14:textId="77777777" w:rsidR="00886EF4" w:rsidRDefault="00886EF4" w:rsidP="00886EF4">
    <w:pPr>
      <w:pStyle w:val="Header"/>
    </w:pPr>
  </w:p>
  <w:p w14:paraId="14229C91" w14:textId="77777777" w:rsidR="00886EF4" w:rsidRDefault="00886EF4" w:rsidP="00886EF4">
    <w:pPr>
      <w:pStyle w:val="Header"/>
    </w:pPr>
  </w:p>
  <w:p w14:paraId="0EDD1D60" w14:textId="77777777" w:rsidR="001D20FB" w:rsidRDefault="001D20FB" w:rsidP="00886EF4">
    <w:pPr>
      <w:pStyle w:val="Header"/>
    </w:pPr>
  </w:p>
  <w:p w14:paraId="53BCB647" w14:textId="77777777" w:rsidR="00886EF4" w:rsidRDefault="00886EF4" w:rsidP="00886EF4">
    <w:pPr>
      <w:pStyle w:val="Header"/>
    </w:pPr>
  </w:p>
  <w:p w14:paraId="09A9A9CC" w14:textId="77777777" w:rsidR="00886EF4" w:rsidRDefault="00886EF4" w:rsidP="00886EF4">
    <w:pPr>
      <w:pStyle w:val="Header"/>
    </w:pPr>
  </w:p>
  <w:p w14:paraId="4CE3AF15" w14:textId="77777777" w:rsidR="00886EF4" w:rsidRDefault="00886EF4" w:rsidP="00886EF4">
    <w:pPr>
      <w:pStyle w:val="Header"/>
    </w:pPr>
  </w:p>
  <w:p w14:paraId="55C08667" w14:textId="77777777" w:rsidR="00A730B9" w:rsidRPr="00954987" w:rsidRDefault="00116053" w:rsidP="00886EF4">
    <w:pPr>
      <w:pStyle w:val="Header"/>
    </w:pPr>
    <w:r w:rsidRPr="00954987">
      <w:rPr>
        <w:noProof/>
        <w:lang w:eastAsia="en-GB"/>
      </w:rPr>
      <w:drawing>
        <wp:anchor distT="0" distB="0" distL="114300" distR="114300" simplePos="0" relativeHeight="251674624" behindDoc="1" locked="1" layoutInCell="1" allowOverlap="1" wp14:anchorId="6B9C4C24" wp14:editId="6621E27C">
          <wp:simplePos x="0" y="0"/>
          <wp:positionH relativeFrom="page">
            <wp:posOffset>8890</wp:posOffset>
          </wp:positionH>
          <wp:positionV relativeFrom="page">
            <wp:posOffset>0</wp:posOffset>
          </wp:positionV>
          <wp:extent cx="7762875" cy="2221865"/>
          <wp:effectExtent l="0" t="0" r="9525" b="6985"/>
          <wp:wrapNone/>
          <wp:docPr id="13" name="Picture 13" descr="top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_bann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r="30623"/>
                  <a:stretch/>
                </pic:blipFill>
                <pic:spPr bwMode="auto">
                  <a:xfrm>
                    <a:off x="0" y="0"/>
                    <a:ext cx="7762875" cy="2221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40AF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AA671B4"/>
    <w:lvl w:ilvl="0">
      <w:start w:val="1"/>
      <w:numFmt w:val="decimal"/>
      <w:pStyle w:val="BalloonText"/>
      <w:lvlText w:val="%1."/>
      <w:lvlJc w:val="left"/>
      <w:pPr>
        <w:tabs>
          <w:tab w:val="num" w:pos="360"/>
        </w:tabs>
        <w:ind w:left="360" w:hanging="360"/>
      </w:pPr>
    </w:lvl>
  </w:abstractNum>
  <w:abstractNum w:abstractNumId="2" w15:restartNumberingAfterBreak="0">
    <w:nsid w:val="FFFFFF89"/>
    <w:multiLevelType w:val="singleLevel"/>
    <w:tmpl w:val="C9AA1D7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413865"/>
    <w:multiLevelType w:val="multilevel"/>
    <w:tmpl w:val="56DED534"/>
    <w:lvl w:ilvl="0">
      <w:start w:val="1"/>
      <w:numFmt w:val="upperLetter"/>
      <w:lvlText w:val="%1."/>
      <w:lvlJc w:val="left"/>
      <w:pPr>
        <w:tabs>
          <w:tab w:val="num" w:pos="720"/>
        </w:tabs>
        <w:ind w:left="720" w:hanging="432"/>
      </w:pPr>
      <w:rPr>
        <w:rFonts w:ascii="Arial" w:hAnsi="Arial" w:hint="default"/>
        <w:b w:val="0"/>
        <w:i w:val="0"/>
        <w:color w:val="auto"/>
        <w:sz w:val="22"/>
      </w:rPr>
    </w:lvl>
    <w:lvl w:ilvl="1">
      <w:start w:val="1"/>
      <w:numFmt w:val="none"/>
      <w:isLgl/>
      <w:lvlText w:val=""/>
      <w:lvlJc w:val="left"/>
      <w:pPr>
        <w:tabs>
          <w:tab w:val="num" w:pos="360"/>
        </w:tabs>
        <w:ind w:left="0" w:firstLine="0"/>
      </w:pPr>
      <w:rPr>
        <w:rFonts w:hint="default"/>
      </w:rPr>
    </w:lvl>
    <w:lvl w:ilvl="2">
      <w:start w:val="1"/>
      <w:numFmt w:val="bullet"/>
      <w:lvlText w:val=""/>
      <w:lvlJc w:val="left"/>
      <w:pPr>
        <w:tabs>
          <w:tab w:val="num" w:pos="720"/>
        </w:tabs>
        <w:ind w:left="720" w:hanging="432"/>
      </w:pPr>
      <w:rPr>
        <w:rFonts w:ascii="Symbol" w:hAnsi="Symbol" w:hint="default"/>
        <w:color w:val="3366FF"/>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89B59F2"/>
    <w:multiLevelType w:val="multilevel"/>
    <w:tmpl w:val="FE3613D4"/>
    <w:lvl w:ilvl="0">
      <w:start w:val="1"/>
      <w:numFmt w:val="bullet"/>
      <w:pStyle w:val="Bullet-GallagherBlue"/>
      <w:lvlText w:val=""/>
      <w:lvlJc w:val="left"/>
      <w:pPr>
        <w:tabs>
          <w:tab w:val="num" w:pos="360"/>
        </w:tabs>
        <w:ind w:left="360" w:hanging="360"/>
      </w:pPr>
      <w:rPr>
        <w:rFonts w:ascii="Symbol" w:hAnsi="Symbol" w:hint="default"/>
        <w:color w:val="6FACDE" w:themeColor="accent2"/>
        <w:sz w:val="20"/>
      </w:rPr>
    </w:lvl>
    <w:lvl w:ilvl="1">
      <w:start w:val="1"/>
      <w:numFmt w:val="bullet"/>
      <w:lvlText w:val=""/>
      <w:lvlJc w:val="left"/>
      <w:pPr>
        <w:tabs>
          <w:tab w:val="num" w:pos="720"/>
        </w:tabs>
        <w:ind w:left="720" w:hanging="360"/>
      </w:pPr>
      <w:rPr>
        <w:rFonts w:ascii="Wingdings" w:hAnsi="Wingdings" w:hint="default"/>
        <w:color w:val="auto"/>
        <w:sz w:val="22"/>
      </w:rPr>
    </w:lvl>
    <w:lvl w:ilvl="2">
      <w:start w:val="1"/>
      <w:numFmt w:val="bullet"/>
      <w:lvlText w:val=""/>
      <w:lvlJc w:val="left"/>
      <w:pPr>
        <w:tabs>
          <w:tab w:val="num" w:pos="1080"/>
        </w:tabs>
        <w:ind w:left="1080" w:hanging="360"/>
      </w:pPr>
      <w:rPr>
        <w:rFonts w:ascii="Wingdings" w:hAnsi="Wingdings" w:hint="default"/>
        <w:color w:val="auto"/>
        <w:sz w:val="22"/>
      </w:rPr>
    </w:lvl>
    <w:lvl w:ilvl="3">
      <w:start w:val="1"/>
      <w:numFmt w:val="bullet"/>
      <w:lvlText w:val=""/>
      <w:lvlJc w:val="left"/>
      <w:pPr>
        <w:tabs>
          <w:tab w:val="num" w:pos="1440"/>
        </w:tabs>
        <w:ind w:left="1440" w:hanging="360"/>
      </w:pPr>
      <w:rPr>
        <w:rFonts w:ascii="Symbol" w:hAnsi="Symbol"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1E4BCA"/>
    <w:multiLevelType w:val="hybridMultilevel"/>
    <w:tmpl w:val="E95648EA"/>
    <w:lvl w:ilvl="0" w:tplc="04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F41531"/>
    <w:multiLevelType w:val="hybridMultilevel"/>
    <w:tmpl w:val="A6DA8366"/>
    <w:lvl w:ilvl="0" w:tplc="20A6E692">
      <w:start w:val="1"/>
      <w:numFmt w:val="bullet"/>
      <w:lvlText w:val=""/>
      <w:lvlJc w:val="left"/>
      <w:pPr>
        <w:tabs>
          <w:tab w:val="num" w:pos="504"/>
        </w:tabs>
        <w:ind w:left="504" w:hanging="504"/>
      </w:pPr>
      <w:rPr>
        <w:rFonts w:ascii="Symbol" w:hAnsi="Symbol" w:hint="default"/>
        <w:color w:val="auto"/>
      </w:rPr>
    </w:lvl>
    <w:lvl w:ilvl="1" w:tplc="3DBEFF12">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63FF1"/>
    <w:multiLevelType w:val="hybridMultilevel"/>
    <w:tmpl w:val="399EF32A"/>
    <w:lvl w:ilvl="0" w:tplc="F326A95E">
      <w:start w:val="1"/>
      <w:numFmt w:val="bullet"/>
      <w:lvlText w:val="Q"/>
      <w:lvlJc w:val="left"/>
      <w:pPr>
        <w:tabs>
          <w:tab w:val="num" w:pos="720"/>
        </w:tabs>
        <w:ind w:left="720" w:hanging="720"/>
      </w:pPr>
      <w:rPr>
        <w:rFonts w:hint="default"/>
        <w:sz w:val="22"/>
      </w:rPr>
    </w:lvl>
    <w:lvl w:ilvl="1" w:tplc="276CA1D6" w:tentative="1">
      <w:start w:val="1"/>
      <w:numFmt w:val="bullet"/>
      <w:lvlText w:val="o"/>
      <w:lvlJc w:val="left"/>
      <w:pPr>
        <w:tabs>
          <w:tab w:val="num" w:pos="1440"/>
        </w:tabs>
        <w:ind w:left="1440" w:hanging="360"/>
      </w:pPr>
      <w:rPr>
        <w:rFonts w:ascii="Courier New" w:hAnsi="Courier New" w:hint="default"/>
      </w:rPr>
    </w:lvl>
    <w:lvl w:ilvl="2" w:tplc="3CD2CBA8" w:tentative="1">
      <w:start w:val="1"/>
      <w:numFmt w:val="bullet"/>
      <w:lvlText w:val=""/>
      <w:lvlJc w:val="left"/>
      <w:pPr>
        <w:tabs>
          <w:tab w:val="num" w:pos="2160"/>
        </w:tabs>
        <w:ind w:left="2160" w:hanging="360"/>
      </w:pPr>
      <w:rPr>
        <w:rFonts w:ascii="Wingdings" w:hAnsi="Wingdings" w:hint="default"/>
      </w:rPr>
    </w:lvl>
    <w:lvl w:ilvl="3" w:tplc="7C3ED23C" w:tentative="1">
      <w:start w:val="1"/>
      <w:numFmt w:val="bullet"/>
      <w:lvlText w:val=""/>
      <w:lvlJc w:val="left"/>
      <w:pPr>
        <w:tabs>
          <w:tab w:val="num" w:pos="2880"/>
        </w:tabs>
        <w:ind w:left="2880" w:hanging="360"/>
      </w:pPr>
      <w:rPr>
        <w:rFonts w:ascii="Symbol" w:hAnsi="Symbol" w:hint="default"/>
      </w:rPr>
    </w:lvl>
    <w:lvl w:ilvl="4" w:tplc="FDC61734" w:tentative="1">
      <w:start w:val="1"/>
      <w:numFmt w:val="bullet"/>
      <w:lvlText w:val="o"/>
      <w:lvlJc w:val="left"/>
      <w:pPr>
        <w:tabs>
          <w:tab w:val="num" w:pos="3600"/>
        </w:tabs>
        <w:ind w:left="3600" w:hanging="360"/>
      </w:pPr>
      <w:rPr>
        <w:rFonts w:ascii="Courier New" w:hAnsi="Courier New" w:hint="default"/>
      </w:rPr>
    </w:lvl>
    <w:lvl w:ilvl="5" w:tplc="99F85FD2" w:tentative="1">
      <w:start w:val="1"/>
      <w:numFmt w:val="bullet"/>
      <w:lvlText w:val=""/>
      <w:lvlJc w:val="left"/>
      <w:pPr>
        <w:tabs>
          <w:tab w:val="num" w:pos="4320"/>
        </w:tabs>
        <w:ind w:left="4320" w:hanging="360"/>
      </w:pPr>
      <w:rPr>
        <w:rFonts w:ascii="Wingdings" w:hAnsi="Wingdings" w:hint="default"/>
      </w:rPr>
    </w:lvl>
    <w:lvl w:ilvl="6" w:tplc="4F92FDE8" w:tentative="1">
      <w:start w:val="1"/>
      <w:numFmt w:val="bullet"/>
      <w:lvlText w:val=""/>
      <w:lvlJc w:val="left"/>
      <w:pPr>
        <w:tabs>
          <w:tab w:val="num" w:pos="5040"/>
        </w:tabs>
        <w:ind w:left="5040" w:hanging="360"/>
      </w:pPr>
      <w:rPr>
        <w:rFonts w:ascii="Symbol" w:hAnsi="Symbol" w:hint="default"/>
      </w:rPr>
    </w:lvl>
    <w:lvl w:ilvl="7" w:tplc="3DC8A52E" w:tentative="1">
      <w:start w:val="1"/>
      <w:numFmt w:val="bullet"/>
      <w:lvlText w:val="o"/>
      <w:lvlJc w:val="left"/>
      <w:pPr>
        <w:tabs>
          <w:tab w:val="num" w:pos="5760"/>
        </w:tabs>
        <w:ind w:left="5760" w:hanging="360"/>
      </w:pPr>
      <w:rPr>
        <w:rFonts w:ascii="Courier New" w:hAnsi="Courier New" w:hint="default"/>
      </w:rPr>
    </w:lvl>
    <w:lvl w:ilvl="8" w:tplc="75A6ED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24BBE"/>
    <w:multiLevelType w:val="multilevel"/>
    <w:tmpl w:val="8AD47B06"/>
    <w:lvl w:ilvl="0">
      <w:start w:val="1"/>
      <w:numFmt w:val="decimal"/>
      <w:lvlText w:val="%1."/>
      <w:lvlJc w:val="left"/>
      <w:pPr>
        <w:tabs>
          <w:tab w:val="num" w:pos="432"/>
        </w:tabs>
        <w:ind w:left="432" w:hanging="432"/>
      </w:pPr>
      <w:rPr>
        <w:rFonts w:hint="default"/>
        <w:color w:val="000000"/>
        <w:sz w:val="18"/>
      </w:rPr>
    </w:lvl>
    <w:lvl w:ilvl="1">
      <w:start w:val="1"/>
      <w:numFmt w:val="lowerLetter"/>
      <w:lvlText w:val="%2)"/>
      <w:lvlJc w:val="left"/>
      <w:pPr>
        <w:tabs>
          <w:tab w:val="num" w:pos="864"/>
        </w:tabs>
        <w:ind w:left="864" w:hanging="432"/>
      </w:pPr>
      <w:rPr>
        <w:rFonts w:hint="default"/>
      </w:rPr>
    </w:lvl>
    <w:lvl w:ilvl="2">
      <w:start w:val="1"/>
      <w:numFmt w:val="bullet"/>
      <w:lvlText w:val="-"/>
      <w:lvlJc w:val="left"/>
      <w:pPr>
        <w:tabs>
          <w:tab w:val="num" w:pos="864"/>
        </w:tabs>
        <w:ind w:left="864" w:hanging="432"/>
      </w:pPr>
      <w:rPr>
        <w:rFonts w:ascii="Times New Roman" w:cs="Times New Roman" w:hint="default"/>
        <w:color w:val="999999"/>
      </w:rPr>
    </w:lvl>
    <w:lvl w:ilvl="3">
      <w:start w:val="1"/>
      <w:numFmt w:val="bullet"/>
      <w:lvlText w:val="-"/>
      <w:lvlJc w:val="left"/>
      <w:pPr>
        <w:tabs>
          <w:tab w:val="num" w:pos="1296"/>
        </w:tabs>
        <w:ind w:left="1296" w:hanging="432"/>
      </w:pPr>
      <w:rPr>
        <w:rFonts w:ascii="Times New Roman" w:cs="Times New Roman" w:hint="default"/>
        <w:color w:val="999999"/>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432"/>
        </w:tabs>
        <w:ind w:left="432" w:hanging="432"/>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850383C"/>
    <w:multiLevelType w:val="hybridMultilevel"/>
    <w:tmpl w:val="BD944DF8"/>
    <w:lvl w:ilvl="0" w:tplc="A94432CE">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CB1D8C"/>
    <w:multiLevelType w:val="hybridMultilevel"/>
    <w:tmpl w:val="97CE1F40"/>
    <w:lvl w:ilvl="0" w:tplc="8A80DE72">
      <w:start w:val="1"/>
      <w:numFmt w:val="bullet"/>
      <w:lvlText w:val="A"/>
      <w:lvlJc w:val="left"/>
      <w:pPr>
        <w:tabs>
          <w:tab w:val="num" w:pos="720"/>
        </w:tabs>
        <w:ind w:left="720" w:hanging="72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E54A0"/>
    <w:multiLevelType w:val="multilevel"/>
    <w:tmpl w:val="2466AEB2"/>
    <w:lvl w:ilvl="0">
      <w:start w:val="1"/>
      <w:numFmt w:val="decimal"/>
      <w:pStyle w:val="Number"/>
      <w:lvlText w:val="%1."/>
      <w:lvlJc w:val="left"/>
      <w:pPr>
        <w:tabs>
          <w:tab w:val="num" w:pos="360"/>
        </w:tabs>
        <w:ind w:left="720" w:hanging="720"/>
      </w:pPr>
      <w:rPr>
        <w:rFonts w:ascii="Arial" w:hAnsi="Arial" w:cs="Eras Medium ITC" w:hint="default"/>
        <w:b w:val="0"/>
        <w:i w:val="0"/>
        <w:color w:val="auto"/>
        <w:sz w:val="20"/>
        <w:szCs w:val="22"/>
      </w:rPr>
    </w:lvl>
    <w:lvl w:ilvl="1">
      <w:start w:val="1"/>
      <w:numFmt w:val="upperLetter"/>
      <w:pStyle w:val="Number2"/>
      <w:lvlText w:val="%2."/>
      <w:lvlJc w:val="left"/>
      <w:pPr>
        <w:tabs>
          <w:tab w:val="num" w:pos="360"/>
        </w:tabs>
        <w:ind w:left="1440" w:hanging="1080"/>
      </w:pPr>
      <w:rPr>
        <w:rFonts w:ascii="Arial" w:hAnsi="Arial" w:cs="Eras Medium ITC" w:hint="default"/>
        <w:b w:val="0"/>
        <w:i w:val="0"/>
        <w:color w:val="auto"/>
        <w:sz w:val="22"/>
        <w:szCs w:val="22"/>
      </w:rPr>
    </w:lvl>
    <w:lvl w:ilvl="2">
      <w:start w:val="1"/>
      <w:numFmt w:val="decimal"/>
      <w:pStyle w:val="Number3"/>
      <w:lvlText w:val="%3)"/>
      <w:lvlJc w:val="left"/>
      <w:pPr>
        <w:tabs>
          <w:tab w:val="num" w:pos="2160"/>
        </w:tabs>
        <w:ind w:left="2160" w:hanging="720"/>
      </w:pPr>
      <w:rPr>
        <w:rFonts w:ascii="Arial" w:hAnsi="Arial" w:cs="Eras Medium ITC" w:hint="default"/>
        <w:b w:val="0"/>
        <w:i w:val="0"/>
        <w:color w:val="auto"/>
        <w:sz w:val="22"/>
        <w:szCs w:val="22"/>
      </w:rPr>
    </w:lvl>
    <w:lvl w:ilvl="3">
      <w:start w:val="1"/>
      <w:numFmt w:val="lowerLetter"/>
      <w:pStyle w:val="Number4"/>
      <w:lvlText w:val="%4."/>
      <w:lvlJc w:val="left"/>
      <w:pPr>
        <w:tabs>
          <w:tab w:val="num" w:pos="2880"/>
        </w:tabs>
        <w:ind w:left="2880" w:hanging="720"/>
      </w:pPr>
      <w:rPr>
        <w:rFonts w:ascii="Arial" w:hAnsi="Arial" w:cs="Eras Medium ITC" w:hint="default"/>
        <w:b w:val="0"/>
        <w:i w:val="0"/>
        <w:color w:val="auto"/>
        <w:sz w:val="22"/>
        <w:szCs w:val="22"/>
      </w:rPr>
    </w:lvl>
    <w:lvl w:ilvl="4">
      <w:start w:val="1"/>
      <w:numFmt w:val="lowerLetter"/>
      <w:lvlText w:val="%5)"/>
      <w:lvlJc w:val="left"/>
      <w:pPr>
        <w:tabs>
          <w:tab w:val="num" w:pos="3600"/>
        </w:tabs>
        <w:ind w:left="3600" w:hanging="720"/>
      </w:pPr>
      <w:rPr>
        <w:rFonts w:cs="Eras Medium ITC" w:hint="default"/>
      </w:rPr>
    </w:lvl>
    <w:lvl w:ilvl="5">
      <w:start w:val="1"/>
      <w:numFmt w:val="lowerRoman"/>
      <w:lvlText w:val="%6)"/>
      <w:lvlJc w:val="left"/>
      <w:pPr>
        <w:tabs>
          <w:tab w:val="num" w:pos="4320"/>
        </w:tabs>
        <w:ind w:left="4320" w:hanging="720"/>
      </w:pPr>
      <w:rPr>
        <w:rFonts w:cs="Eras Medium ITC" w:hint="default"/>
      </w:rPr>
    </w:lvl>
    <w:lvl w:ilvl="6">
      <w:start w:val="1"/>
      <w:numFmt w:val="decimal"/>
      <w:lvlText w:val="(%7)"/>
      <w:lvlJc w:val="left"/>
      <w:pPr>
        <w:tabs>
          <w:tab w:val="num" w:pos="5040"/>
        </w:tabs>
        <w:ind w:left="5040" w:hanging="720"/>
      </w:pPr>
      <w:rPr>
        <w:rFonts w:cs="Eras Medium ITC" w:hint="default"/>
      </w:rPr>
    </w:lvl>
    <w:lvl w:ilvl="7">
      <w:start w:val="1"/>
      <w:numFmt w:val="lowerLetter"/>
      <w:lvlText w:val="(%8)"/>
      <w:lvlJc w:val="left"/>
      <w:pPr>
        <w:tabs>
          <w:tab w:val="num" w:pos="5760"/>
        </w:tabs>
        <w:ind w:left="5760" w:hanging="720"/>
      </w:pPr>
      <w:rPr>
        <w:rFonts w:cs="Eras Medium ITC" w:hint="default"/>
      </w:rPr>
    </w:lvl>
    <w:lvl w:ilvl="8">
      <w:start w:val="1"/>
      <w:numFmt w:val="lowerRoman"/>
      <w:lvlText w:val="(%9)"/>
      <w:lvlJc w:val="left"/>
      <w:pPr>
        <w:tabs>
          <w:tab w:val="num" w:pos="6480"/>
        </w:tabs>
        <w:ind w:left="6480" w:hanging="720"/>
      </w:pPr>
      <w:rPr>
        <w:rFonts w:cs="Eras Medium ITC" w:hint="default"/>
      </w:rPr>
    </w:lvl>
  </w:abstractNum>
  <w:abstractNum w:abstractNumId="12" w15:restartNumberingAfterBreak="0">
    <w:nsid w:val="38F2606F"/>
    <w:multiLevelType w:val="hybridMultilevel"/>
    <w:tmpl w:val="B936F59A"/>
    <w:lvl w:ilvl="0" w:tplc="E0301D9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99960F9"/>
    <w:multiLevelType w:val="hybridMultilevel"/>
    <w:tmpl w:val="E95648EA"/>
    <w:lvl w:ilvl="0" w:tplc="04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B26409"/>
    <w:multiLevelType w:val="multilevel"/>
    <w:tmpl w:val="57B887E2"/>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530240AE"/>
    <w:multiLevelType w:val="multilevel"/>
    <w:tmpl w:val="FFC4CD20"/>
    <w:name w:val="Bullet"/>
    <w:lvl w:ilvl="0">
      <w:start w:val="1"/>
      <w:numFmt w:val="decimal"/>
      <w:lvlText w:val="%1."/>
      <w:lvlJc w:val="left"/>
      <w:pPr>
        <w:tabs>
          <w:tab w:val="num" w:pos="432"/>
        </w:tabs>
        <w:ind w:left="432" w:hanging="432"/>
      </w:pPr>
      <w:rPr>
        <w:rFonts w:ascii="Arial" w:hAnsi="Arial" w:hint="default"/>
        <w:b w:val="0"/>
        <w:i w:val="0"/>
        <w:color w:val="auto"/>
        <w:sz w:val="20"/>
        <w:szCs w:val="20"/>
      </w:rPr>
    </w:lvl>
    <w:lvl w:ilvl="1">
      <w:start w:val="1"/>
      <w:numFmt w:val="upperLetter"/>
      <w:lvlText w:val="%2."/>
      <w:lvlJc w:val="left"/>
      <w:pPr>
        <w:tabs>
          <w:tab w:val="num" w:pos="864"/>
        </w:tabs>
        <w:ind w:left="864" w:hanging="432"/>
      </w:pPr>
      <w:rPr>
        <w:rFonts w:ascii="Arial" w:hAnsi="Arial" w:hint="default"/>
        <w:b w:val="0"/>
        <w:i w:val="0"/>
        <w:color w:val="auto"/>
        <w:sz w:val="20"/>
        <w:szCs w:val="20"/>
      </w:rPr>
    </w:lvl>
    <w:lvl w:ilvl="2">
      <w:start w:val="1"/>
      <w:numFmt w:val="decimal"/>
      <w:lvlText w:val="%3)"/>
      <w:lvlJc w:val="left"/>
      <w:pPr>
        <w:tabs>
          <w:tab w:val="num" w:pos="1296"/>
        </w:tabs>
        <w:ind w:left="1296" w:hanging="432"/>
      </w:pPr>
      <w:rPr>
        <w:rFonts w:ascii="Arial" w:hAnsi="Arial" w:hint="default"/>
        <w:b w:val="0"/>
        <w:i w:val="0"/>
        <w:color w:val="auto"/>
        <w:sz w:val="20"/>
        <w:szCs w:val="20"/>
      </w:rPr>
    </w:lvl>
    <w:lvl w:ilvl="3">
      <w:start w:val="1"/>
      <w:numFmt w:val="lowerLetter"/>
      <w:lvlText w:val="%4."/>
      <w:lvlJc w:val="left"/>
      <w:pPr>
        <w:tabs>
          <w:tab w:val="num" w:pos="1728"/>
        </w:tabs>
        <w:ind w:left="1728" w:hanging="432"/>
      </w:pPr>
      <w:rPr>
        <w:rFonts w:ascii="Arial" w:hAnsi="Arial" w:hint="default"/>
        <w:b w:val="0"/>
        <w:i w:val="0"/>
        <w:color w:val="auto"/>
        <w:sz w:val="20"/>
        <w:szCs w:val="20"/>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54CF4249"/>
    <w:multiLevelType w:val="multilevel"/>
    <w:tmpl w:val="9674548A"/>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56A8412A"/>
    <w:multiLevelType w:val="multilevel"/>
    <w:tmpl w:val="6E204E80"/>
    <w:lvl w:ilvl="0">
      <w:start w:val="1"/>
      <w:numFmt w:val="decimal"/>
      <w:lvlText w:val="%1."/>
      <w:lvlJc w:val="right"/>
      <w:pPr>
        <w:tabs>
          <w:tab w:val="num" w:pos="720"/>
        </w:tabs>
        <w:ind w:left="720" w:hanging="360"/>
      </w:pPr>
      <w:rPr>
        <w:rFonts w:ascii="Arial" w:hAnsi="Arial" w:hint="default"/>
        <w:b w:val="0"/>
        <w:i w:val="0"/>
        <w:color w:val="auto"/>
        <w:sz w:val="22"/>
        <w:szCs w:val="22"/>
      </w:rPr>
    </w:lvl>
    <w:lvl w:ilvl="1">
      <w:start w:val="1"/>
      <w:numFmt w:val="upperLetter"/>
      <w:lvlRestart w:val="0"/>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decimal"/>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8" w15:restartNumberingAfterBreak="0">
    <w:nsid w:val="7A2A68C8"/>
    <w:multiLevelType w:val="multilevel"/>
    <w:tmpl w:val="A4A85B52"/>
    <w:lvl w:ilvl="0">
      <w:start w:val="1"/>
      <w:numFmt w:val="upperRoman"/>
      <w:lvlText w:val="%1."/>
      <w:lvlJc w:val="right"/>
      <w:pPr>
        <w:tabs>
          <w:tab w:val="num" w:pos="720"/>
        </w:tabs>
        <w:ind w:left="720" w:hanging="360"/>
      </w:pPr>
      <w:rPr>
        <w:rFonts w:ascii="Arial" w:hAnsi="Arial" w:hint="default"/>
        <w:b w:val="0"/>
        <w:i w:val="0"/>
        <w:color w:val="auto"/>
        <w:sz w:val="22"/>
        <w:szCs w:val="22"/>
      </w:rPr>
    </w:lvl>
    <w:lvl w:ilvl="1">
      <w:start w:val="1"/>
      <w:numFmt w:val="upperLetter"/>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4"/>
  </w:num>
  <w:num w:numId="3">
    <w:abstractNumId w:val="4"/>
  </w:num>
  <w:num w:numId="4">
    <w:abstractNumId w:val="4"/>
  </w:num>
  <w:num w:numId="5">
    <w:abstractNumId w:val="4"/>
  </w:num>
  <w:num w:numId="6">
    <w:abstractNumId w:val="16"/>
  </w:num>
  <w:num w:numId="7">
    <w:abstractNumId w:val="14"/>
  </w:num>
  <w:num w:numId="8">
    <w:abstractNumId w:val="14"/>
  </w:num>
  <w:num w:numId="9">
    <w:abstractNumId w:val="14"/>
  </w:num>
  <w:num w:numId="10">
    <w:abstractNumId w:val="15"/>
  </w:num>
  <w:num w:numId="11">
    <w:abstractNumId w:val="10"/>
  </w:num>
  <w:num w:numId="12">
    <w:abstractNumId w:val="7"/>
  </w:num>
  <w:num w:numId="13">
    <w:abstractNumId w:val="3"/>
  </w:num>
  <w:num w:numId="14">
    <w:abstractNumId w:val="17"/>
  </w:num>
  <w:num w:numId="15">
    <w:abstractNumId w:val="17"/>
  </w:num>
  <w:num w:numId="16">
    <w:abstractNumId w:val="17"/>
  </w:num>
  <w:num w:numId="17">
    <w:abstractNumId w:val="17"/>
  </w:num>
  <w:num w:numId="18">
    <w:abstractNumId w:val="2"/>
  </w:num>
  <w:num w:numId="19">
    <w:abstractNumId w:val="11"/>
  </w:num>
  <w:num w:numId="20">
    <w:abstractNumId w:val="11"/>
  </w:num>
  <w:num w:numId="21">
    <w:abstractNumId w:val="11"/>
  </w:num>
  <w:num w:numId="22">
    <w:abstractNumId w:val="11"/>
  </w:num>
  <w:num w:numId="23">
    <w:abstractNumId w:val="18"/>
  </w:num>
  <w:num w:numId="24">
    <w:abstractNumId w:val="0"/>
  </w:num>
  <w:num w:numId="25">
    <w:abstractNumId w:val="6"/>
  </w:num>
  <w:num w:numId="26">
    <w:abstractNumId w:val="9"/>
  </w:num>
  <w:num w:numId="27">
    <w:abstractNumId w:val="8"/>
  </w:num>
  <w:num w:numId="28">
    <w:abstractNumId w:val="12"/>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ArbqfMiVeGBOEu141ZPahgwk0q7EuE3lUPaUgOJFw+NGz2H+Sl82tQPBIj7D+i9ok059dFEOKKBs1TcmgVuGsw==" w:salt="CytLiRu2dMXFQbNr6EXQkQ=="/>
  <w:defaultTabStop w:val="720"/>
  <w:drawingGridHorizontalSpacing w:val="120"/>
  <w:displayHorizontalDrawingGridEvery w:val="2"/>
  <w:displayVerticalDrawingGridEvery w:val="2"/>
  <w:characterSpacingControl w:val="doNotCompress"/>
  <w:hdrShapeDefaults>
    <o:shapedefaults v:ext="edit" spidmax="4097" fill="f" fillcolor="white" stroke="f">
      <v:fill color="white" on="f"/>
      <v:stroke on="f"/>
      <o:colormru v:ext="edit" colors="#4181cf,#167cb7,#db7cb7,#dbe3f1,#387d96,#0067bc,#0070cc,#3174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64E"/>
    <w:rsid w:val="00007EE7"/>
    <w:rsid w:val="00011E67"/>
    <w:rsid w:val="000121AB"/>
    <w:rsid w:val="00014D46"/>
    <w:rsid w:val="00032CB0"/>
    <w:rsid w:val="00065F74"/>
    <w:rsid w:val="00066F3C"/>
    <w:rsid w:val="000F0DFB"/>
    <w:rsid w:val="00100FD1"/>
    <w:rsid w:val="001019E5"/>
    <w:rsid w:val="001159C7"/>
    <w:rsid w:val="00116053"/>
    <w:rsid w:val="00151E53"/>
    <w:rsid w:val="00181F7A"/>
    <w:rsid w:val="00184A39"/>
    <w:rsid w:val="001A450E"/>
    <w:rsid w:val="001C5153"/>
    <w:rsid w:val="001C5299"/>
    <w:rsid w:val="001D20FB"/>
    <w:rsid w:val="001D3955"/>
    <w:rsid w:val="001E120A"/>
    <w:rsid w:val="001E7659"/>
    <w:rsid w:val="001F4999"/>
    <w:rsid w:val="00201AC9"/>
    <w:rsid w:val="00224C9B"/>
    <w:rsid w:val="002337F8"/>
    <w:rsid w:val="00237ED8"/>
    <w:rsid w:val="00263375"/>
    <w:rsid w:val="00271E9E"/>
    <w:rsid w:val="00276590"/>
    <w:rsid w:val="00292118"/>
    <w:rsid w:val="002A3EE3"/>
    <w:rsid w:val="002C29D3"/>
    <w:rsid w:val="002C4909"/>
    <w:rsid w:val="002E292B"/>
    <w:rsid w:val="002E77C1"/>
    <w:rsid w:val="0032707D"/>
    <w:rsid w:val="00341DC1"/>
    <w:rsid w:val="00345DE1"/>
    <w:rsid w:val="00374DAB"/>
    <w:rsid w:val="003A65F3"/>
    <w:rsid w:val="003C65F8"/>
    <w:rsid w:val="003D4096"/>
    <w:rsid w:val="003E319D"/>
    <w:rsid w:val="003F0A0D"/>
    <w:rsid w:val="00403D9B"/>
    <w:rsid w:val="00437FD6"/>
    <w:rsid w:val="004536F5"/>
    <w:rsid w:val="00461618"/>
    <w:rsid w:val="00471CE5"/>
    <w:rsid w:val="004724F7"/>
    <w:rsid w:val="005149ED"/>
    <w:rsid w:val="0057468A"/>
    <w:rsid w:val="00596DF5"/>
    <w:rsid w:val="005A40FF"/>
    <w:rsid w:val="005B5B11"/>
    <w:rsid w:val="005C096A"/>
    <w:rsid w:val="005C391F"/>
    <w:rsid w:val="005C3CCC"/>
    <w:rsid w:val="005D4314"/>
    <w:rsid w:val="005F1B51"/>
    <w:rsid w:val="005F5D63"/>
    <w:rsid w:val="005F710A"/>
    <w:rsid w:val="005F77D3"/>
    <w:rsid w:val="0061767B"/>
    <w:rsid w:val="00665156"/>
    <w:rsid w:val="00665845"/>
    <w:rsid w:val="00666B18"/>
    <w:rsid w:val="0067704C"/>
    <w:rsid w:val="0069064E"/>
    <w:rsid w:val="006A2EFE"/>
    <w:rsid w:val="006B4C66"/>
    <w:rsid w:val="006C06D9"/>
    <w:rsid w:val="006C3767"/>
    <w:rsid w:val="006C5C56"/>
    <w:rsid w:val="006C7F9E"/>
    <w:rsid w:val="006D456C"/>
    <w:rsid w:val="006E69A4"/>
    <w:rsid w:val="00703737"/>
    <w:rsid w:val="007109CA"/>
    <w:rsid w:val="00715154"/>
    <w:rsid w:val="00732061"/>
    <w:rsid w:val="00747A76"/>
    <w:rsid w:val="00764EFB"/>
    <w:rsid w:val="00783748"/>
    <w:rsid w:val="00787AE8"/>
    <w:rsid w:val="007B50F7"/>
    <w:rsid w:val="007B62B6"/>
    <w:rsid w:val="007E11DC"/>
    <w:rsid w:val="007E6FFC"/>
    <w:rsid w:val="0080189E"/>
    <w:rsid w:val="008019FC"/>
    <w:rsid w:val="0080320C"/>
    <w:rsid w:val="00820336"/>
    <w:rsid w:val="00821099"/>
    <w:rsid w:val="00834BF4"/>
    <w:rsid w:val="00834D41"/>
    <w:rsid w:val="008361D0"/>
    <w:rsid w:val="008651A8"/>
    <w:rsid w:val="00871018"/>
    <w:rsid w:val="0087110B"/>
    <w:rsid w:val="00883FA9"/>
    <w:rsid w:val="00886EF4"/>
    <w:rsid w:val="008B4B74"/>
    <w:rsid w:val="008C261C"/>
    <w:rsid w:val="008D116D"/>
    <w:rsid w:val="008E2245"/>
    <w:rsid w:val="008E734E"/>
    <w:rsid w:val="008F71F7"/>
    <w:rsid w:val="009052DD"/>
    <w:rsid w:val="00907BEA"/>
    <w:rsid w:val="00935941"/>
    <w:rsid w:val="00954987"/>
    <w:rsid w:val="00960DAD"/>
    <w:rsid w:val="0097128B"/>
    <w:rsid w:val="00973192"/>
    <w:rsid w:val="009931A6"/>
    <w:rsid w:val="009C5285"/>
    <w:rsid w:val="009D1A0D"/>
    <w:rsid w:val="009D5AA7"/>
    <w:rsid w:val="00A15C08"/>
    <w:rsid w:val="00A3220A"/>
    <w:rsid w:val="00A33ADD"/>
    <w:rsid w:val="00A622A5"/>
    <w:rsid w:val="00A70E15"/>
    <w:rsid w:val="00A730B9"/>
    <w:rsid w:val="00A74AF1"/>
    <w:rsid w:val="00A95F6F"/>
    <w:rsid w:val="00A97E9E"/>
    <w:rsid w:val="00AD75DC"/>
    <w:rsid w:val="00AE4504"/>
    <w:rsid w:val="00B440AB"/>
    <w:rsid w:val="00B5302C"/>
    <w:rsid w:val="00B530C2"/>
    <w:rsid w:val="00B60329"/>
    <w:rsid w:val="00BB3CE8"/>
    <w:rsid w:val="00BD4B32"/>
    <w:rsid w:val="00C0105A"/>
    <w:rsid w:val="00C01563"/>
    <w:rsid w:val="00C41391"/>
    <w:rsid w:val="00C64761"/>
    <w:rsid w:val="00C87C2D"/>
    <w:rsid w:val="00CC6466"/>
    <w:rsid w:val="00CF4C15"/>
    <w:rsid w:val="00D074EA"/>
    <w:rsid w:val="00D106B6"/>
    <w:rsid w:val="00D21A68"/>
    <w:rsid w:val="00D2685A"/>
    <w:rsid w:val="00D44B42"/>
    <w:rsid w:val="00D473FF"/>
    <w:rsid w:val="00D60B45"/>
    <w:rsid w:val="00DB5F24"/>
    <w:rsid w:val="00DC2B1A"/>
    <w:rsid w:val="00DD05A3"/>
    <w:rsid w:val="00DE17BA"/>
    <w:rsid w:val="00DE385F"/>
    <w:rsid w:val="00DE4882"/>
    <w:rsid w:val="00DE5A78"/>
    <w:rsid w:val="00DE799A"/>
    <w:rsid w:val="00DF5DE4"/>
    <w:rsid w:val="00E23F85"/>
    <w:rsid w:val="00E43B33"/>
    <w:rsid w:val="00E50EFE"/>
    <w:rsid w:val="00E838D4"/>
    <w:rsid w:val="00E94A3A"/>
    <w:rsid w:val="00EA728F"/>
    <w:rsid w:val="00EB2C57"/>
    <w:rsid w:val="00EB3A13"/>
    <w:rsid w:val="00EF4638"/>
    <w:rsid w:val="00F066D2"/>
    <w:rsid w:val="00F376A0"/>
    <w:rsid w:val="00F377F1"/>
    <w:rsid w:val="00F65E38"/>
    <w:rsid w:val="00F73688"/>
    <w:rsid w:val="00F83169"/>
    <w:rsid w:val="00FE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colormru v:ext="edit" colors="#4181cf,#167cb7,#db7cb7,#dbe3f1,#387d96,#0067bc,#0070cc,#3174c5"/>
    </o:shapedefaults>
    <o:shapelayout v:ext="edit">
      <o:idmap v:ext="edit" data="1"/>
    </o:shapelayout>
  </w:shapeDefaults>
  <w:decimalSymbol w:val="."/>
  <w:listSeparator w:val=","/>
  <w14:docId w14:val="7325B557"/>
  <w15:docId w15:val="{ABF51A2D-61B0-4D9F-998B-356F7343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86EF4"/>
    <w:pPr>
      <w:spacing w:after="240"/>
      <w:jc w:val="both"/>
    </w:pPr>
    <w:rPr>
      <w:rFonts w:ascii="Arial" w:eastAsia="Times New Roman" w:hAnsi="Arial"/>
      <w:szCs w:val="24"/>
      <w:lang w:val="en-GB"/>
    </w:rPr>
  </w:style>
  <w:style w:type="paragraph" w:styleId="Heading1">
    <w:name w:val="heading 1"/>
    <w:basedOn w:val="Normal"/>
    <w:next w:val="Normal"/>
    <w:link w:val="Heading1Char"/>
    <w:qFormat/>
    <w:rsid w:val="009C5285"/>
    <w:pPr>
      <w:outlineLvl w:val="0"/>
    </w:pPr>
    <w:rPr>
      <w:rFonts w:cs="Arial"/>
      <w:bCs/>
      <w:color w:val="00263E"/>
      <w:sz w:val="36"/>
      <w:szCs w:val="32"/>
    </w:rPr>
  </w:style>
  <w:style w:type="paragraph" w:styleId="Heading2">
    <w:name w:val="heading 2"/>
    <w:basedOn w:val="Normal"/>
    <w:next w:val="Normal"/>
    <w:link w:val="Heading2Char"/>
    <w:qFormat/>
    <w:rsid w:val="009C5285"/>
    <w:pPr>
      <w:keepNext/>
      <w:spacing w:before="240"/>
      <w:outlineLvl w:val="1"/>
    </w:pPr>
    <w:rPr>
      <w:rFonts w:cs="Arial"/>
      <w:b/>
      <w:bCs/>
      <w:iCs/>
      <w:color w:val="6FACDE"/>
      <w:sz w:val="26"/>
      <w:szCs w:val="28"/>
    </w:rPr>
  </w:style>
  <w:style w:type="paragraph" w:styleId="Heading3">
    <w:name w:val="heading 3"/>
    <w:basedOn w:val="Normal"/>
    <w:next w:val="Normal"/>
    <w:link w:val="Heading3Char"/>
    <w:rsid w:val="00886EF4"/>
    <w:pPr>
      <w:spacing w:before="240" w:after="120"/>
      <w:outlineLvl w:val="2"/>
    </w:pPr>
    <w:rPr>
      <w:rFonts w:cs="Arial"/>
      <w:b/>
      <w:bCs/>
      <w:color w:val="6FACDE"/>
      <w:sz w:val="24"/>
      <w:szCs w:val="26"/>
    </w:rPr>
  </w:style>
  <w:style w:type="paragraph" w:styleId="Heading4">
    <w:name w:val="heading 4"/>
    <w:basedOn w:val="Normal"/>
    <w:next w:val="Normal"/>
    <w:link w:val="Heading4Char"/>
    <w:rsid w:val="00E50EFE"/>
    <w:pPr>
      <w:spacing w:after="360"/>
      <w:outlineLvl w:val="3"/>
    </w:pPr>
    <w:rPr>
      <w:b/>
      <w:bCs/>
      <w:color w:val="336699"/>
      <w:sz w:val="36"/>
      <w:szCs w:val="28"/>
    </w:rPr>
  </w:style>
  <w:style w:type="paragraph" w:styleId="Heading5">
    <w:name w:val="heading 5"/>
    <w:aliases w:val="Heading"/>
    <w:basedOn w:val="Normal"/>
    <w:next w:val="Normal"/>
    <w:link w:val="Heading5Char"/>
    <w:rsid w:val="00403D9B"/>
    <w:pPr>
      <w:outlineLvl w:val="4"/>
    </w:pPr>
    <w:rPr>
      <w:bCs/>
      <w:iCs/>
      <w:noProof/>
      <w:color w:val="00263E" w:themeColor="accent1"/>
      <w:sz w:val="36"/>
      <w:szCs w:val="26"/>
    </w:rPr>
  </w:style>
  <w:style w:type="paragraph" w:styleId="Heading6">
    <w:name w:val="heading 6"/>
    <w:basedOn w:val="Normal"/>
    <w:next w:val="Normal"/>
    <w:link w:val="Heading6Char"/>
    <w:rsid w:val="00E50EFE"/>
    <w:pPr>
      <w:numPr>
        <w:ilvl w:val="5"/>
        <w:numId w:val="17"/>
      </w:numPr>
      <w:spacing w:before="240" w:after="60"/>
      <w:outlineLvl w:val="5"/>
    </w:pPr>
    <w:rPr>
      <w:rFonts w:ascii="Times New Roman" w:hAnsi="Times New Roman"/>
      <w:b/>
      <w:bCs/>
    </w:rPr>
  </w:style>
  <w:style w:type="paragraph" w:styleId="Heading7">
    <w:name w:val="heading 7"/>
    <w:basedOn w:val="Normal"/>
    <w:next w:val="Normal"/>
    <w:link w:val="Heading7Char"/>
    <w:rsid w:val="00E50EFE"/>
    <w:pPr>
      <w:numPr>
        <w:ilvl w:val="6"/>
        <w:numId w:val="17"/>
      </w:numPr>
      <w:spacing w:before="240" w:after="60"/>
      <w:outlineLvl w:val="6"/>
    </w:pPr>
    <w:rPr>
      <w:rFonts w:ascii="Times New Roman" w:hAnsi="Times New Roman"/>
    </w:rPr>
  </w:style>
  <w:style w:type="paragraph" w:styleId="Heading8">
    <w:name w:val="heading 8"/>
    <w:basedOn w:val="Normal"/>
    <w:next w:val="Normal"/>
    <w:link w:val="Heading8Char"/>
    <w:rsid w:val="00E50EFE"/>
    <w:pPr>
      <w:numPr>
        <w:ilvl w:val="7"/>
        <w:numId w:val="17"/>
      </w:numPr>
      <w:spacing w:before="240" w:after="60"/>
      <w:outlineLvl w:val="7"/>
    </w:pPr>
    <w:rPr>
      <w:rFonts w:ascii="Times New Roman" w:hAnsi="Times New Roman"/>
      <w:i/>
      <w:iCs/>
    </w:rPr>
  </w:style>
  <w:style w:type="paragraph" w:styleId="Heading9">
    <w:name w:val="heading 9"/>
    <w:basedOn w:val="Normal"/>
    <w:next w:val="Normal"/>
    <w:link w:val="Heading9Char"/>
    <w:rsid w:val="00E50EFE"/>
    <w:pPr>
      <w:numPr>
        <w:ilvl w:val="8"/>
        <w:numId w:val="17"/>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50EFE"/>
    <w:pPr>
      <w:numPr>
        <w:numId w:val="1"/>
      </w:numPr>
    </w:pPr>
    <w:rPr>
      <w:rFonts w:ascii="Tahoma" w:hAnsi="Tahoma" w:cs="Tahoma"/>
      <w:sz w:val="16"/>
      <w:szCs w:val="16"/>
    </w:rPr>
  </w:style>
  <w:style w:type="character" w:customStyle="1" w:styleId="BalloonTextChar">
    <w:name w:val="Balloon Text Char"/>
    <w:basedOn w:val="DefaultParagraphFont"/>
    <w:link w:val="BalloonText"/>
    <w:semiHidden/>
    <w:rsid w:val="00374DAB"/>
    <w:rPr>
      <w:rFonts w:ascii="Tahoma" w:eastAsia="Times New Roman" w:hAnsi="Tahoma" w:cs="Tahoma"/>
      <w:sz w:val="16"/>
      <w:szCs w:val="16"/>
    </w:rPr>
  </w:style>
  <w:style w:type="paragraph" w:styleId="Header">
    <w:name w:val="header"/>
    <w:basedOn w:val="Normal"/>
    <w:link w:val="HeaderChar"/>
    <w:rsid w:val="00886EF4"/>
    <w:pPr>
      <w:tabs>
        <w:tab w:val="center" w:pos="4320"/>
        <w:tab w:val="right" w:pos="8640"/>
      </w:tabs>
      <w:spacing w:after="0"/>
    </w:pPr>
  </w:style>
  <w:style w:type="character" w:customStyle="1" w:styleId="HeaderChar">
    <w:name w:val="Header Char"/>
    <w:basedOn w:val="DefaultParagraphFont"/>
    <w:link w:val="Header"/>
    <w:rsid w:val="00886EF4"/>
    <w:rPr>
      <w:rFonts w:ascii="Arial" w:eastAsia="Times New Roman" w:hAnsi="Arial"/>
      <w:szCs w:val="24"/>
      <w:lang w:val="en-GB"/>
    </w:rPr>
  </w:style>
  <w:style w:type="paragraph" w:styleId="Footer">
    <w:name w:val="footer"/>
    <w:basedOn w:val="Normal"/>
    <w:link w:val="FooterChar"/>
    <w:uiPriority w:val="99"/>
    <w:qFormat/>
    <w:rsid w:val="00E50EFE"/>
    <w:pPr>
      <w:tabs>
        <w:tab w:val="center" w:pos="4320"/>
        <w:tab w:val="right" w:pos="8640"/>
      </w:tabs>
    </w:pPr>
  </w:style>
  <w:style w:type="character" w:customStyle="1" w:styleId="FooterChar">
    <w:name w:val="Footer Char"/>
    <w:basedOn w:val="DefaultParagraphFont"/>
    <w:link w:val="Footer"/>
    <w:uiPriority w:val="99"/>
    <w:rsid w:val="00374DAB"/>
    <w:rPr>
      <w:rFonts w:ascii="Arial" w:eastAsia="Times New Roman" w:hAnsi="Arial"/>
      <w:szCs w:val="24"/>
    </w:rPr>
  </w:style>
  <w:style w:type="paragraph" w:customStyle="1" w:styleId="AJGFooter1">
    <w:name w:val="AJG Footer 1"/>
    <w:basedOn w:val="Normal"/>
    <w:rsid w:val="00886EF4"/>
    <w:rPr>
      <w:rFonts w:eastAsia="Calibri" w:cs="Arial"/>
      <w:color w:val="000000"/>
      <w:sz w:val="16"/>
      <w:szCs w:val="16"/>
    </w:rPr>
  </w:style>
  <w:style w:type="paragraph" w:customStyle="1" w:styleId="AJGFooter2">
    <w:name w:val="AJG Footer 2"/>
    <w:basedOn w:val="Footer"/>
    <w:rsid w:val="00886EF4"/>
    <w:pPr>
      <w:tabs>
        <w:tab w:val="clear" w:pos="4320"/>
        <w:tab w:val="clear" w:pos="8640"/>
        <w:tab w:val="right" w:pos="10800"/>
      </w:tabs>
      <w:spacing w:after="60"/>
    </w:pPr>
    <w:rPr>
      <w:rFonts w:asciiTheme="minorHAnsi" w:hAnsiTheme="minorHAnsi" w:cstheme="minorHAnsi"/>
      <w:noProof/>
      <w:sz w:val="12"/>
      <w:szCs w:val="12"/>
    </w:rPr>
  </w:style>
  <w:style w:type="paragraph" w:customStyle="1" w:styleId="Bullet-GallagherBlue">
    <w:name w:val="Bullet - Gallagher Blue"/>
    <w:basedOn w:val="Normal"/>
    <w:qFormat/>
    <w:rsid w:val="00665156"/>
    <w:pPr>
      <w:numPr>
        <w:numId w:val="2"/>
      </w:numPr>
      <w:spacing w:after="60"/>
    </w:pPr>
    <w:rPr>
      <w:noProof/>
    </w:rPr>
  </w:style>
  <w:style w:type="paragraph" w:customStyle="1" w:styleId="AJGBullet">
    <w:name w:val="AJG Bullet"/>
    <w:basedOn w:val="Bullet-GallagherBlue"/>
    <w:qFormat/>
    <w:rsid w:val="00886EF4"/>
  </w:style>
  <w:style w:type="character" w:customStyle="1" w:styleId="Heading1Char">
    <w:name w:val="Heading 1 Char"/>
    <w:basedOn w:val="DefaultParagraphFont"/>
    <w:link w:val="Heading1"/>
    <w:rsid w:val="009C5285"/>
    <w:rPr>
      <w:rFonts w:ascii="Arial" w:eastAsia="Times New Roman" w:hAnsi="Arial" w:cs="Arial"/>
      <w:bCs/>
      <w:color w:val="00263E"/>
      <w:sz w:val="36"/>
      <w:szCs w:val="32"/>
      <w:lang w:val="en-GB"/>
    </w:rPr>
  </w:style>
  <w:style w:type="character" w:customStyle="1" w:styleId="Heading5Char">
    <w:name w:val="Heading 5 Char"/>
    <w:aliases w:val="Heading Char"/>
    <w:basedOn w:val="DefaultParagraphFont"/>
    <w:link w:val="Heading5"/>
    <w:rsid w:val="00403D9B"/>
    <w:rPr>
      <w:rFonts w:ascii="Arial" w:eastAsia="Times New Roman" w:hAnsi="Arial"/>
      <w:bCs/>
      <w:iCs/>
      <w:noProof/>
      <w:color w:val="00263E" w:themeColor="accent1"/>
      <w:sz w:val="36"/>
      <w:szCs w:val="26"/>
    </w:rPr>
  </w:style>
  <w:style w:type="character" w:styleId="FollowedHyperlink">
    <w:name w:val="FollowedHyperlink"/>
    <w:basedOn w:val="DefaultParagraphFont"/>
    <w:rsid w:val="00E50EFE"/>
    <w:rPr>
      <w:color w:val="800080"/>
      <w:u w:val="single"/>
    </w:rPr>
  </w:style>
  <w:style w:type="character" w:styleId="FootnoteReference">
    <w:name w:val="footnote reference"/>
    <w:basedOn w:val="DefaultParagraphFont"/>
    <w:semiHidden/>
    <w:rsid w:val="00E50EFE"/>
    <w:rPr>
      <w:vertAlign w:val="superscript"/>
    </w:rPr>
  </w:style>
  <w:style w:type="paragraph" w:styleId="FootnoteText">
    <w:name w:val="footnote text"/>
    <w:basedOn w:val="Normal"/>
    <w:link w:val="FootnoteTextChar"/>
    <w:autoRedefine/>
    <w:semiHidden/>
    <w:rsid w:val="00E50EFE"/>
    <w:pPr>
      <w:ind w:left="360" w:hanging="360"/>
    </w:pPr>
    <w:rPr>
      <w:sz w:val="18"/>
    </w:rPr>
  </w:style>
  <w:style w:type="character" w:customStyle="1" w:styleId="FootnoteTextChar">
    <w:name w:val="Footnote Text Char"/>
    <w:basedOn w:val="DefaultParagraphFont"/>
    <w:link w:val="FootnoteText"/>
    <w:semiHidden/>
    <w:rsid w:val="00E50EFE"/>
    <w:rPr>
      <w:rFonts w:ascii="Arial" w:eastAsia="Times New Roman" w:hAnsi="Arial"/>
      <w:sz w:val="18"/>
      <w:szCs w:val="24"/>
    </w:rPr>
  </w:style>
  <w:style w:type="character" w:customStyle="1" w:styleId="Heading2Char">
    <w:name w:val="Heading 2 Char"/>
    <w:basedOn w:val="DefaultParagraphFont"/>
    <w:link w:val="Heading2"/>
    <w:rsid w:val="009C5285"/>
    <w:rPr>
      <w:rFonts w:ascii="Arial" w:eastAsia="Times New Roman" w:hAnsi="Arial" w:cs="Arial"/>
      <w:b/>
      <w:bCs/>
      <w:iCs/>
      <w:color w:val="6FACDE"/>
      <w:sz w:val="26"/>
      <w:szCs w:val="28"/>
      <w:lang w:val="en-GB"/>
    </w:rPr>
  </w:style>
  <w:style w:type="character" w:customStyle="1" w:styleId="Heading3Char">
    <w:name w:val="Heading 3 Char"/>
    <w:basedOn w:val="DefaultParagraphFont"/>
    <w:link w:val="Heading3"/>
    <w:rsid w:val="00886EF4"/>
    <w:rPr>
      <w:rFonts w:ascii="Arial" w:eastAsia="Times New Roman" w:hAnsi="Arial" w:cs="Arial"/>
      <w:b/>
      <w:bCs/>
      <w:color w:val="6FACDE"/>
      <w:sz w:val="24"/>
      <w:szCs w:val="26"/>
      <w:lang w:val="en-GB"/>
    </w:rPr>
  </w:style>
  <w:style w:type="character" w:customStyle="1" w:styleId="Heading4Char">
    <w:name w:val="Heading 4 Char"/>
    <w:basedOn w:val="DefaultParagraphFont"/>
    <w:link w:val="Heading4"/>
    <w:rsid w:val="00E50EFE"/>
    <w:rPr>
      <w:rFonts w:ascii="Arial" w:eastAsia="Times New Roman" w:hAnsi="Arial"/>
      <w:b/>
      <w:bCs/>
      <w:color w:val="336699"/>
      <w:sz w:val="36"/>
      <w:szCs w:val="28"/>
    </w:rPr>
  </w:style>
  <w:style w:type="character" w:customStyle="1" w:styleId="Heading6Char">
    <w:name w:val="Heading 6 Char"/>
    <w:basedOn w:val="DefaultParagraphFont"/>
    <w:link w:val="Heading6"/>
    <w:rsid w:val="00E50EFE"/>
    <w:rPr>
      <w:rFonts w:ascii="Times New Roman" w:eastAsia="Times New Roman" w:hAnsi="Times New Roman"/>
      <w:b/>
      <w:bCs/>
      <w:szCs w:val="24"/>
    </w:rPr>
  </w:style>
  <w:style w:type="character" w:customStyle="1" w:styleId="Heading7Char">
    <w:name w:val="Heading 7 Char"/>
    <w:basedOn w:val="DefaultParagraphFont"/>
    <w:link w:val="Heading7"/>
    <w:rsid w:val="00E50EFE"/>
    <w:rPr>
      <w:rFonts w:ascii="Times New Roman" w:eastAsia="Times New Roman" w:hAnsi="Times New Roman"/>
      <w:sz w:val="24"/>
      <w:szCs w:val="24"/>
    </w:rPr>
  </w:style>
  <w:style w:type="character" w:customStyle="1" w:styleId="Heading8Char">
    <w:name w:val="Heading 8 Char"/>
    <w:basedOn w:val="DefaultParagraphFont"/>
    <w:link w:val="Heading8"/>
    <w:rsid w:val="00E50EFE"/>
    <w:rPr>
      <w:rFonts w:ascii="Times New Roman" w:eastAsia="Times New Roman" w:hAnsi="Times New Roman"/>
      <w:i/>
      <w:iCs/>
      <w:sz w:val="24"/>
      <w:szCs w:val="24"/>
    </w:rPr>
  </w:style>
  <w:style w:type="character" w:customStyle="1" w:styleId="Heading9Char">
    <w:name w:val="Heading 9 Char"/>
    <w:basedOn w:val="DefaultParagraphFont"/>
    <w:link w:val="Heading9"/>
    <w:rsid w:val="00E50EFE"/>
    <w:rPr>
      <w:rFonts w:ascii="Arial" w:eastAsia="Times New Roman" w:hAnsi="Arial" w:cs="Arial"/>
      <w:szCs w:val="24"/>
    </w:rPr>
  </w:style>
  <w:style w:type="character" w:styleId="Hyperlink">
    <w:name w:val="Hyperlink"/>
    <w:basedOn w:val="DefaultParagraphFont"/>
    <w:uiPriority w:val="99"/>
    <w:rsid w:val="00E50EFE"/>
    <w:rPr>
      <w:color w:val="0000FF"/>
      <w:u w:val="single"/>
    </w:rPr>
  </w:style>
  <w:style w:type="paragraph" w:customStyle="1" w:styleId="Table">
    <w:name w:val="Table"/>
    <w:basedOn w:val="Normal"/>
    <w:qFormat/>
    <w:rsid w:val="005F1B51"/>
    <w:pPr>
      <w:spacing w:before="20" w:after="20"/>
    </w:pPr>
    <w:rPr>
      <w:szCs w:val="22"/>
    </w:rPr>
  </w:style>
  <w:style w:type="paragraph" w:styleId="ListBullet">
    <w:name w:val="List Bullet"/>
    <w:basedOn w:val="Normal"/>
    <w:autoRedefine/>
    <w:rsid w:val="00E50EFE"/>
    <w:pPr>
      <w:ind w:left="1440"/>
    </w:pPr>
  </w:style>
  <w:style w:type="paragraph" w:styleId="ListNumber">
    <w:name w:val="List Number"/>
    <w:basedOn w:val="Normal"/>
    <w:rsid w:val="00E50EFE"/>
  </w:style>
  <w:style w:type="paragraph" w:customStyle="1" w:styleId="Number">
    <w:name w:val="Number"/>
    <w:basedOn w:val="ListNumber"/>
    <w:rsid w:val="00E50EFE"/>
    <w:pPr>
      <w:numPr>
        <w:numId w:val="22"/>
      </w:numPr>
    </w:pPr>
  </w:style>
  <w:style w:type="paragraph" w:customStyle="1" w:styleId="Number2">
    <w:name w:val="Number 2"/>
    <w:basedOn w:val="Number"/>
    <w:rsid w:val="00E50EFE"/>
    <w:pPr>
      <w:numPr>
        <w:ilvl w:val="1"/>
      </w:numPr>
    </w:pPr>
  </w:style>
  <w:style w:type="paragraph" w:customStyle="1" w:styleId="Number3">
    <w:name w:val="Number 3"/>
    <w:basedOn w:val="Number"/>
    <w:rsid w:val="00E50EFE"/>
    <w:pPr>
      <w:numPr>
        <w:ilvl w:val="2"/>
      </w:numPr>
    </w:pPr>
  </w:style>
  <w:style w:type="paragraph" w:customStyle="1" w:styleId="Number4">
    <w:name w:val="Number 4"/>
    <w:basedOn w:val="Number"/>
    <w:rsid w:val="00E50EFE"/>
    <w:pPr>
      <w:numPr>
        <w:ilvl w:val="3"/>
      </w:numPr>
    </w:pPr>
  </w:style>
  <w:style w:type="character" w:styleId="PageNumber">
    <w:name w:val="page number"/>
    <w:basedOn w:val="DefaultParagraphFont"/>
    <w:rsid w:val="00E50EFE"/>
    <w:rPr>
      <w:rFonts w:ascii="Arial" w:hAnsi="Arial"/>
      <w:sz w:val="20"/>
    </w:rPr>
  </w:style>
  <w:style w:type="paragraph" w:customStyle="1" w:styleId="Subheader">
    <w:name w:val="Subheader"/>
    <w:basedOn w:val="Normal"/>
    <w:next w:val="Normal"/>
    <w:qFormat/>
    <w:rsid w:val="00665156"/>
    <w:pPr>
      <w:keepNext/>
      <w:spacing w:before="240" w:after="120"/>
    </w:pPr>
    <w:rPr>
      <w:rFonts w:ascii="Arial Bold" w:hAnsi="Arial Bold"/>
      <w:b/>
      <w:color w:val="6FACDE" w:themeColor="accent2"/>
      <w:sz w:val="26"/>
      <w:szCs w:val="26"/>
    </w:rPr>
  </w:style>
  <w:style w:type="table" w:styleId="TableGrid">
    <w:name w:val="Table Grid"/>
    <w:basedOn w:val="TableNormal"/>
    <w:rsid w:val="00E50EF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E50EFE"/>
    <w:pPr>
      <w:tabs>
        <w:tab w:val="right" w:leader="dot" w:pos="10368"/>
      </w:tabs>
      <w:spacing w:before="120"/>
      <w:ind w:left="432" w:right="720" w:hanging="432"/>
    </w:pPr>
    <w:rPr>
      <w:sz w:val="22"/>
      <w:szCs w:val="22"/>
    </w:rPr>
  </w:style>
  <w:style w:type="paragraph" w:styleId="TOC2">
    <w:name w:val="toc 2"/>
    <w:basedOn w:val="Normal"/>
    <w:next w:val="Normal"/>
    <w:autoRedefine/>
    <w:semiHidden/>
    <w:rsid w:val="00E50EFE"/>
    <w:pPr>
      <w:tabs>
        <w:tab w:val="right" w:leader="dot" w:pos="10368"/>
      </w:tabs>
      <w:ind w:left="1080" w:hanging="720"/>
    </w:pPr>
    <w:rPr>
      <w:sz w:val="22"/>
      <w:szCs w:val="20"/>
    </w:rPr>
  </w:style>
  <w:style w:type="paragraph" w:styleId="TOC3">
    <w:name w:val="toc 3"/>
    <w:basedOn w:val="Normal"/>
    <w:next w:val="Normal"/>
    <w:autoRedefine/>
    <w:semiHidden/>
    <w:rsid w:val="00E50EFE"/>
    <w:pPr>
      <w:tabs>
        <w:tab w:val="right" w:pos="10080"/>
      </w:tabs>
      <w:ind w:left="475"/>
    </w:pPr>
    <w:rPr>
      <w:sz w:val="22"/>
    </w:rPr>
  </w:style>
  <w:style w:type="paragraph" w:styleId="TOC4">
    <w:name w:val="toc 4"/>
    <w:basedOn w:val="Normal"/>
    <w:next w:val="Normal"/>
    <w:autoRedefine/>
    <w:semiHidden/>
    <w:rsid w:val="00E50EFE"/>
    <w:pPr>
      <w:ind w:left="720"/>
    </w:pPr>
    <w:rPr>
      <w:sz w:val="22"/>
    </w:rPr>
  </w:style>
  <w:style w:type="paragraph" w:styleId="TOC5">
    <w:name w:val="toc 5"/>
    <w:basedOn w:val="Normal"/>
    <w:next w:val="Normal"/>
    <w:autoRedefine/>
    <w:semiHidden/>
    <w:rsid w:val="00E50EFE"/>
    <w:pPr>
      <w:ind w:left="960"/>
    </w:pPr>
    <w:rPr>
      <w:sz w:val="22"/>
    </w:rPr>
  </w:style>
  <w:style w:type="paragraph" w:styleId="TOC6">
    <w:name w:val="toc 6"/>
    <w:basedOn w:val="Normal"/>
    <w:next w:val="Normal"/>
    <w:autoRedefine/>
    <w:semiHidden/>
    <w:rsid w:val="00E50EFE"/>
    <w:pPr>
      <w:ind w:left="1200"/>
    </w:pPr>
    <w:rPr>
      <w:sz w:val="22"/>
    </w:rPr>
  </w:style>
  <w:style w:type="paragraph" w:styleId="TOC7">
    <w:name w:val="toc 7"/>
    <w:basedOn w:val="Normal"/>
    <w:next w:val="Normal"/>
    <w:autoRedefine/>
    <w:semiHidden/>
    <w:rsid w:val="00E50EFE"/>
    <w:pPr>
      <w:ind w:left="1440"/>
    </w:pPr>
    <w:rPr>
      <w:sz w:val="22"/>
    </w:rPr>
  </w:style>
  <w:style w:type="paragraph" w:styleId="TOC8">
    <w:name w:val="toc 8"/>
    <w:basedOn w:val="Normal"/>
    <w:next w:val="Normal"/>
    <w:autoRedefine/>
    <w:semiHidden/>
    <w:rsid w:val="00E50EFE"/>
    <w:pPr>
      <w:ind w:left="1680"/>
    </w:pPr>
    <w:rPr>
      <w:sz w:val="22"/>
    </w:rPr>
  </w:style>
  <w:style w:type="paragraph" w:styleId="TOC9">
    <w:name w:val="toc 9"/>
    <w:basedOn w:val="Normal"/>
    <w:next w:val="Normal"/>
    <w:autoRedefine/>
    <w:semiHidden/>
    <w:rsid w:val="00E50EFE"/>
    <w:pPr>
      <w:ind w:left="1920"/>
    </w:pPr>
    <w:rPr>
      <w:sz w:val="22"/>
    </w:rPr>
  </w:style>
  <w:style w:type="paragraph" w:customStyle="1" w:styleId="TOC91">
    <w:name w:val="TOC 91"/>
    <w:basedOn w:val="Normal"/>
    <w:next w:val="Normal"/>
    <w:autoRedefine/>
    <w:semiHidden/>
    <w:rsid w:val="00E50EFE"/>
    <w:pPr>
      <w:ind w:left="1920"/>
    </w:pPr>
  </w:style>
  <w:style w:type="table" w:styleId="LightShading-Accent4">
    <w:name w:val="Light Shading Accent 4"/>
    <w:basedOn w:val="TableNormal"/>
    <w:uiPriority w:val="60"/>
    <w:rsid w:val="008E2245"/>
    <w:rPr>
      <w:color w:val="B75A1D" w:themeColor="accent4" w:themeShade="BF"/>
    </w:rPr>
    <w:tblPr>
      <w:tblStyleRowBandSize w:val="1"/>
      <w:tblStyleColBandSize w:val="1"/>
      <w:tblBorders>
        <w:top w:val="single" w:sz="8" w:space="0" w:color="E07E3C" w:themeColor="accent4"/>
        <w:bottom w:val="single" w:sz="8" w:space="0" w:color="E07E3C" w:themeColor="accent4"/>
      </w:tblBorders>
    </w:tblPr>
    <w:tblStylePr w:type="firstRow">
      <w:pPr>
        <w:spacing w:before="0" w:after="0" w:line="240" w:lineRule="auto"/>
      </w:pPr>
      <w:rPr>
        <w:b/>
        <w:bCs/>
      </w:rPr>
      <w:tblPr/>
      <w:tcPr>
        <w:tcBorders>
          <w:top w:val="single" w:sz="8" w:space="0" w:color="E07E3C" w:themeColor="accent4"/>
          <w:left w:val="nil"/>
          <w:bottom w:val="single" w:sz="8" w:space="0" w:color="E07E3C" w:themeColor="accent4"/>
          <w:right w:val="nil"/>
          <w:insideH w:val="nil"/>
          <w:insideV w:val="nil"/>
        </w:tcBorders>
      </w:tcPr>
    </w:tblStylePr>
    <w:tblStylePr w:type="lastRow">
      <w:pPr>
        <w:spacing w:before="0" w:after="0" w:line="240" w:lineRule="auto"/>
      </w:pPr>
      <w:rPr>
        <w:b/>
        <w:bCs/>
      </w:rPr>
      <w:tblPr/>
      <w:tcPr>
        <w:tcBorders>
          <w:top w:val="single" w:sz="8" w:space="0" w:color="E07E3C" w:themeColor="accent4"/>
          <w:left w:val="nil"/>
          <w:bottom w:val="single" w:sz="8" w:space="0" w:color="E07E3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ECE" w:themeFill="accent4" w:themeFillTint="3F"/>
      </w:tcPr>
    </w:tblStylePr>
    <w:tblStylePr w:type="band1Horz">
      <w:tblPr/>
      <w:tcPr>
        <w:tcBorders>
          <w:left w:val="nil"/>
          <w:right w:val="nil"/>
          <w:insideH w:val="nil"/>
          <w:insideV w:val="nil"/>
        </w:tcBorders>
        <w:shd w:val="clear" w:color="auto" w:fill="F7DECE" w:themeFill="accent4" w:themeFillTint="3F"/>
      </w:tcPr>
    </w:tblStylePr>
  </w:style>
  <w:style w:type="table" w:styleId="MediumShading1-Accent4">
    <w:name w:val="Medium Shading 1 Accent 4"/>
    <w:basedOn w:val="TableNormal"/>
    <w:uiPriority w:val="63"/>
    <w:rsid w:val="008E2245"/>
    <w:tblPr>
      <w:tblStyleRowBandSize w:val="1"/>
      <w:tblStyleColBandSize w:val="1"/>
      <w:tblBorders>
        <w:top w:val="single" w:sz="8"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single" w:sz="8" w:space="0" w:color="E79E6C" w:themeColor="accent4" w:themeTint="BF"/>
      </w:tblBorders>
    </w:tblPr>
    <w:tblStylePr w:type="firstRow">
      <w:pPr>
        <w:spacing w:before="0" w:after="0" w:line="240" w:lineRule="auto"/>
      </w:pPr>
      <w:rPr>
        <w:b/>
        <w:bCs/>
        <w:color w:val="FFFFFF" w:themeColor="background1"/>
      </w:rPr>
      <w:tblPr/>
      <w:tcPr>
        <w:tcBorders>
          <w:top w:val="single" w:sz="8"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nil"/>
          <w:insideV w:val="nil"/>
        </w:tcBorders>
        <w:shd w:val="clear" w:color="auto" w:fill="E07E3C" w:themeFill="accent4"/>
      </w:tcPr>
    </w:tblStylePr>
    <w:tblStylePr w:type="lastRow">
      <w:pPr>
        <w:spacing w:before="0" w:after="0" w:line="240" w:lineRule="auto"/>
      </w:pPr>
      <w:rPr>
        <w:b/>
        <w:bCs/>
      </w:rPr>
      <w:tblPr/>
      <w:tcPr>
        <w:tcBorders>
          <w:top w:val="double" w:sz="6"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DECE" w:themeFill="accent4" w:themeFillTint="3F"/>
      </w:tcPr>
    </w:tblStylePr>
    <w:tblStylePr w:type="band1Horz">
      <w:tblPr/>
      <w:tcPr>
        <w:tcBorders>
          <w:insideH w:val="nil"/>
          <w:insideV w:val="nil"/>
        </w:tcBorders>
        <w:shd w:val="clear" w:color="auto" w:fill="F7DECE"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2245"/>
    <w:tblPr>
      <w:tblStyleRowBandSize w:val="1"/>
      <w:tblStyleColBandSize w:val="1"/>
      <w:tblBorders>
        <w:top w:val="single" w:sz="8" w:space="0" w:color="EEEC00" w:themeColor="accent3" w:themeTint="BF"/>
        <w:left w:val="single" w:sz="8" w:space="0" w:color="EEEC00" w:themeColor="accent3" w:themeTint="BF"/>
        <w:bottom w:val="single" w:sz="8" w:space="0" w:color="EEEC00" w:themeColor="accent3" w:themeTint="BF"/>
        <w:right w:val="single" w:sz="8" w:space="0" w:color="EEEC00" w:themeColor="accent3" w:themeTint="BF"/>
        <w:insideH w:val="single" w:sz="8" w:space="0" w:color="EEEC00" w:themeColor="accent3" w:themeTint="BF"/>
      </w:tblBorders>
    </w:tblPr>
    <w:tblStylePr w:type="firstRow">
      <w:pPr>
        <w:spacing w:before="0" w:after="0" w:line="240" w:lineRule="auto"/>
      </w:pPr>
      <w:rPr>
        <w:b/>
        <w:bCs/>
        <w:color w:val="FFFFFF" w:themeColor="background1"/>
      </w:rPr>
      <w:tblPr/>
      <w:tcPr>
        <w:tcBorders>
          <w:top w:val="single" w:sz="8" w:space="0" w:color="EEEC00" w:themeColor="accent3" w:themeTint="BF"/>
          <w:left w:val="single" w:sz="8" w:space="0" w:color="EEEC00" w:themeColor="accent3" w:themeTint="BF"/>
          <w:bottom w:val="single" w:sz="8" w:space="0" w:color="EEEC00" w:themeColor="accent3" w:themeTint="BF"/>
          <w:right w:val="single" w:sz="8" w:space="0" w:color="EEEC00" w:themeColor="accent3" w:themeTint="BF"/>
          <w:insideH w:val="nil"/>
          <w:insideV w:val="nil"/>
        </w:tcBorders>
        <w:shd w:val="clear" w:color="auto" w:fill="949300" w:themeFill="accent3"/>
      </w:tcPr>
    </w:tblStylePr>
    <w:tblStylePr w:type="lastRow">
      <w:pPr>
        <w:spacing w:before="0" w:after="0" w:line="240" w:lineRule="auto"/>
      </w:pPr>
      <w:rPr>
        <w:b/>
        <w:bCs/>
      </w:rPr>
      <w:tblPr/>
      <w:tcPr>
        <w:tcBorders>
          <w:top w:val="double" w:sz="6" w:space="0" w:color="EEEC00" w:themeColor="accent3" w:themeTint="BF"/>
          <w:left w:val="single" w:sz="8" w:space="0" w:color="EEEC00" w:themeColor="accent3" w:themeTint="BF"/>
          <w:bottom w:val="single" w:sz="8" w:space="0" w:color="EEEC00" w:themeColor="accent3" w:themeTint="BF"/>
          <w:right w:val="single" w:sz="8" w:space="0" w:color="EEEC0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EA5" w:themeFill="accent3" w:themeFillTint="3F"/>
      </w:tcPr>
    </w:tblStylePr>
    <w:tblStylePr w:type="band1Horz">
      <w:tblPr/>
      <w:tcPr>
        <w:tcBorders>
          <w:insideH w:val="nil"/>
          <w:insideV w:val="nil"/>
        </w:tcBorders>
        <w:shd w:val="clear" w:color="auto" w:fill="FFFEA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8E2245"/>
    <w:tblPr>
      <w:tblStyleRowBandSize w:val="1"/>
      <w:tblStyleColBandSize w:val="1"/>
      <w:tblBorders>
        <w:top w:val="single" w:sz="8" w:space="0" w:color="949300" w:themeColor="accent3"/>
        <w:left w:val="single" w:sz="8" w:space="0" w:color="949300" w:themeColor="accent3"/>
        <w:bottom w:val="single" w:sz="8" w:space="0" w:color="949300" w:themeColor="accent3"/>
        <w:right w:val="single" w:sz="8" w:space="0" w:color="949300" w:themeColor="accent3"/>
      </w:tblBorders>
    </w:tblPr>
    <w:tblStylePr w:type="firstRow">
      <w:pPr>
        <w:spacing w:before="0" w:after="0" w:line="240" w:lineRule="auto"/>
      </w:pPr>
      <w:rPr>
        <w:b/>
        <w:bCs/>
        <w:color w:val="FFFFFF" w:themeColor="background1"/>
      </w:rPr>
      <w:tblPr/>
      <w:tcPr>
        <w:shd w:val="clear" w:color="auto" w:fill="949300" w:themeFill="accent3"/>
      </w:tcPr>
    </w:tblStylePr>
    <w:tblStylePr w:type="lastRow">
      <w:pPr>
        <w:spacing w:before="0" w:after="0" w:line="240" w:lineRule="auto"/>
      </w:pPr>
      <w:rPr>
        <w:b/>
        <w:bCs/>
      </w:rPr>
      <w:tblPr/>
      <w:tcPr>
        <w:tcBorders>
          <w:top w:val="double" w:sz="6" w:space="0" w:color="949300" w:themeColor="accent3"/>
          <w:left w:val="single" w:sz="8" w:space="0" w:color="949300" w:themeColor="accent3"/>
          <w:bottom w:val="single" w:sz="8" w:space="0" w:color="949300" w:themeColor="accent3"/>
          <w:right w:val="single" w:sz="8" w:space="0" w:color="949300" w:themeColor="accent3"/>
        </w:tcBorders>
      </w:tcPr>
    </w:tblStylePr>
    <w:tblStylePr w:type="firstCol">
      <w:rPr>
        <w:b/>
        <w:bCs/>
      </w:rPr>
    </w:tblStylePr>
    <w:tblStylePr w:type="lastCol">
      <w:rPr>
        <w:b/>
        <w:bCs/>
      </w:rPr>
    </w:tblStylePr>
    <w:tblStylePr w:type="band1Vert">
      <w:tblPr/>
      <w:tcPr>
        <w:tcBorders>
          <w:top w:val="single" w:sz="8" w:space="0" w:color="949300" w:themeColor="accent3"/>
          <w:left w:val="single" w:sz="8" w:space="0" w:color="949300" w:themeColor="accent3"/>
          <w:bottom w:val="single" w:sz="8" w:space="0" w:color="949300" w:themeColor="accent3"/>
          <w:right w:val="single" w:sz="8" w:space="0" w:color="949300" w:themeColor="accent3"/>
        </w:tcBorders>
      </w:tcPr>
    </w:tblStylePr>
    <w:tblStylePr w:type="band1Horz">
      <w:tblPr/>
      <w:tcPr>
        <w:tcBorders>
          <w:top w:val="single" w:sz="8" w:space="0" w:color="949300" w:themeColor="accent3"/>
          <w:left w:val="single" w:sz="8" w:space="0" w:color="949300" w:themeColor="accent3"/>
          <w:bottom w:val="single" w:sz="8" w:space="0" w:color="949300" w:themeColor="accent3"/>
          <w:right w:val="single" w:sz="8" w:space="0" w:color="949300" w:themeColor="accent3"/>
        </w:tcBorders>
      </w:tcPr>
    </w:tblStylePr>
  </w:style>
  <w:style w:type="table" w:styleId="LightList-Accent2">
    <w:name w:val="Light List Accent 2"/>
    <w:basedOn w:val="TableNormal"/>
    <w:uiPriority w:val="61"/>
    <w:rsid w:val="008E2245"/>
    <w:tblPr>
      <w:tblStyleRowBandSize w:val="1"/>
      <w:tblStyleColBandSize w:val="1"/>
      <w:tblBorders>
        <w:top w:val="single" w:sz="8" w:space="0" w:color="6FACDE" w:themeColor="accent2"/>
        <w:left w:val="single" w:sz="8" w:space="0" w:color="6FACDE" w:themeColor="accent2"/>
        <w:bottom w:val="single" w:sz="8" w:space="0" w:color="6FACDE" w:themeColor="accent2"/>
        <w:right w:val="single" w:sz="8" w:space="0" w:color="6FACDE" w:themeColor="accent2"/>
      </w:tblBorders>
    </w:tblPr>
    <w:tblStylePr w:type="firstRow">
      <w:pPr>
        <w:spacing w:before="0" w:after="0" w:line="240" w:lineRule="auto"/>
      </w:pPr>
      <w:rPr>
        <w:b/>
        <w:bCs/>
        <w:color w:val="FFFFFF" w:themeColor="background1"/>
      </w:rPr>
      <w:tblPr/>
      <w:tcPr>
        <w:shd w:val="clear" w:color="auto" w:fill="6FACDE" w:themeFill="accent2"/>
      </w:tcPr>
    </w:tblStylePr>
    <w:tblStylePr w:type="lastRow">
      <w:pPr>
        <w:spacing w:before="0" w:after="0" w:line="240" w:lineRule="auto"/>
      </w:pPr>
      <w:rPr>
        <w:b/>
        <w:bCs/>
      </w:rPr>
      <w:tblPr/>
      <w:tcPr>
        <w:tcBorders>
          <w:top w:val="double" w:sz="6" w:space="0" w:color="6FACDE" w:themeColor="accent2"/>
          <w:left w:val="single" w:sz="8" w:space="0" w:color="6FACDE" w:themeColor="accent2"/>
          <w:bottom w:val="single" w:sz="8" w:space="0" w:color="6FACDE" w:themeColor="accent2"/>
          <w:right w:val="single" w:sz="8" w:space="0" w:color="6FACDE" w:themeColor="accent2"/>
        </w:tcBorders>
      </w:tcPr>
    </w:tblStylePr>
    <w:tblStylePr w:type="firstCol">
      <w:rPr>
        <w:b/>
        <w:bCs/>
      </w:rPr>
    </w:tblStylePr>
    <w:tblStylePr w:type="lastCol">
      <w:rPr>
        <w:b/>
        <w:bCs/>
      </w:rPr>
    </w:tblStylePr>
    <w:tblStylePr w:type="band1Vert">
      <w:tblPr/>
      <w:tcPr>
        <w:tcBorders>
          <w:top w:val="single" w:sz="8" w:space="0" w:color="6FACDE" w:themeColor="accent2"/>
          <w:left w:val="single" w:sz="8" w:space="0" w:color="6FACDE" w:themeColor="accent2"/>
          <w:bottom w:val="single" w:sz="8" w:space="0" w:color="6FACDE" w:themeColor="accent2"/>
          <w:right w:val="single" w:sz="8" w:space="0" w:color="6FACDE" w:themeColor="accent2"/>
        </w:tcBorders>
      </w:tcPr>
    </w:tblStylePr>
    <w:tblStylePr w:type="band1Horz">
      <w:tblPr/>
      <w:tcPr>
        <w:tcBorders>
          <w:top w:val="single" w:sz="8" w:space="0" w:color="6FACDE" w:themeColor="accent2"/>
          <w:left w:val="single" w:sz="8" w:space="0" w:color="6FACDE" w:themeColor="accent2"/>
          <w:bottom w:val="single" w:sz="8" w:space="0" w:color="6FACDE" w:themeColor="accent2"/>
          <w:right w:val="single" w:sz="8" w:space="0" w:color="6FACDE" w:themeColor="accent2"/>
        </w:tcBorders>
      </w:tcPr>
    </w:tblStylePr>
  </w:style>
  <w:style w:type="table" w:styleId="LightList-Accent1">
    <w:name w:val="Light List Accent 1"/>
    <w:basedOn w:val="TableNormal"/>
    <w:uiPriority w:val="61"/>
    <w:rsid w:val="008E734E"/>
    <w:tblPr>
      <w:tblStyleRowBandSize w:val="1"/>
      <w:tblStyleColBandSize w:val="1"/>
      <w:tblBorders>
        <w:top w:val="single" w:sz="8" w:space="0" w:color="00263E" w:themeColor="accent1"/>
        <w:left w:val="single" w:sz="8" w:space="0" w:color="00263E" w:themeColor="accent1"/>
        <w:bottom w:val="single" w:sz="8" w:space="0" w:color="00263E" w:themeColor="accent1"/>
        <w:right w:val="single" w:sz="8" w:space="0" w:color="00263E" w:themeColor="accent1"/>
      </w:tblBorders>
    </w:tblPr>
    <w:tblStylePr w:type="firstRow">
      <w:pPr>
        <w:spacing w:before="0" w:after="0" w:line="240" w:lineRule="auto"/>
      </w:pPr>
      <w:rPr>
        <w:b/>
        <w:bCs/>
        <w:color w:val="FFFFFF" w:themeColor="background1"/>
      </w:rPr>
      <w:tblPr/>
      <w:tcPr>
        <w:shd w:val="clear" w:color="auto" w:fill="00263E" w:themeFill="accent1"/>
      </w:tcPr>
    </w:tblStylePr>
    <w:tblStylePr w:type="lastRow">
      <w:pPr>
        <w:spacing w:before="0" w:after="0" w:line="240" w:lineRule="auto"/>
      </w:pPr>
      <w:rPr>
        <w:b/>
        <w:bCs/>
      </w:rPr>
      <w:tblPr/>
      <w:tcPr>
        <w:tcBorders>
          <w:top w:val="double" w:sz="6" w:space="0" w:color="00263E" w:themeColor="accent1"/>
          <w:left w:val="single" w:sz="8" w:space="0" w:color="00263E" w:themeColor="accent1"/>
          <w:bottom w:val="single" w:sz="8" w:space="0" w:color="00263E" w:themeColor="accent1"/>
          <w:right w:val="single" w:sz="8" w:space="0" w:color="00263E" w:themeColor="accent1"/>
        </w:tcBorders>
      </w:tcPr>
    </w:tblStylePr>
    <w:tblStylePr w:type="firstCol">
      <w:rPr>
        <w:b/>
        <w:bCs/>
      </w:rPr>
    </w:tblStylePr>
    <w:tblStylePr w:type="lastCol">
      <w:rPr>
        <w:b/>
        <w:bCs/>
      </w:rPr>
    </w:tblStylePr>
    <w:tblStylePr w:type="band1Vert">
      <w:tblPr/>
      <w:tcPr>
        <w:tcBorders>
          <w:top w:val="single" w:sz="8" w:space="0" w:color="00263E" w:themeColor="accent1"/>
          <w:left w:val="single" w:sz="8" w:space="0" w:color="00263E" w:themeColor="accent1"/>
          <w:bottom w:val="single" w:sz="8" w:space="0" w:color="00263E" w:themeColor="accent1"/>
          <w:right w:val="single" w:sz="8" w:space="0" w:color="00263E" w:themeColor="accent1"/>
        </w:tcBorders>
      </w:tcPr>
    </w:tblStylePr>
    <w:tblStylePr w:type="band1Horz">
      <w:tblPr/>
      <w:tcPr>
        <w:tcBorders>
          <w:top w:val="single" w:sz="8" w:space="0" w:color="00263E" w:themeColor="accent1"/>
          <w:left w:val="single" w:sz="8" w:space="0" w:color="00263E" w:themeColor="accent1"/>
          <w:bottom w:val="single" w:sz="8" w:space="0" w:color="00263E" w:themeColor="accent1"/>
          <w:right w:val="single" w:sz="8" w:space="0" w:color="00263E" w:themeColor="accent1"/>
        </w:tcBorders>
      </w:tcPr>
    </w:tblStylePr>
  </w:style>
  <w:style w:type="table" w:customStyle="1" w:styleId="GridTable4-Accent21">
    <w:name w:val="Grid Table 4 - Accent 21"/>
    <w:basedOn w:val="TableNormal"/>
    <w:uiPriority w:val="49"/>
    <w:rsid w:val="00907B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6FACDE" w:themeColor="accent2"/>
          <w:left w:val="single" w:sz="4" w:space="0" w:color="6FACDE" w:themeColor="accent2"/>
          <w:bottom w:val="single" w:sz="4" w:space="0" w:color="6FACDE" w:themeColor="accent2"/>
          <w:right w:val="single" w:sz="4" w:space="0" w:color="6FACDE" w:themeColor="accent2"/>
          <w:insideH w:val="nil"/>
          <w:insideV w:val="nil"/>
        </w:tcBorders>
        <w:shd w:val="clear" w:color="auto" w:fill="6FACDE" w:themeFill="accent2"/>
      </w:tcPr>
    </w:tblStylePr>
    <w:tblStylePr w:type="lastRow">
      <w:rPr>
        <w:b/>
        <w:bCs/>
      </w:rPr>
      <w:tblPr/>
      <w:tcPr>
        <w:tcBorders>
          <w:top w:val="double" w:sz="4" w:space="0" w:color="6FACDE" w:themeColor="accent2"/>
        </w:tcBorders>
      </w:tcPr>
    </w:tblStylePr>
    <w:tblStylePr w:type="firstCol">
      <w:rPr>
        <w:b/>
        <w:bCs/>
      </w:rPr>
    </w:tblStylePr>
    <w:tblStylePr w:type="lastCol">
      <w:rPr>
        <w:b/>
        <w:bCs/>
      </w:rPr>
    </w:tblStylePr>
    <w:tblStylePr w:type="band1Vert">
      <w:tblPr/>
      <w:tcPr>
        <w:shd w:val="clear" w:color="auto" w:fill="E1EEF8" w:themeFill="accent2" w:themeFillTint="33"/>
      </w:tcPr>
    </w:tblStylePr>
    <w:tblStylePr w:type="band1Horz">
      <w:tblPr/>
      <w:tcPr>
        <w:shd w:val="clear" w:color="auto" w:fill="E1EEF8" w:themeFill="accent2" w:themeFillTint="33"/>
      </w:tcPr>
    </w:tblStylePr>
  </w:style>
  <w:style w:type="paragraph" w:customStyle="1" w:styleId="TableHeading">
    <w:name w:val="TableHeading"/>
    <w:basedOn w:val="Normal"/>
    <w:link w:val="TableHeadingChar"/>
    <w:qFormat/>
    <w:rsid w:val="00665156"/>
    <w:pPr>
      <w:spacing w:after="0"/>
    </w:pPr>
    <w:rPr>
      <w:rFonts w:eastAsia="Calibri"/>
      <w:b/>
      <w:szCs w:val="22"/>
    </w:rPr>
  </w:style>
  <w:style w:type="character" w:customStyle="1" w:styleId="TableHeadingChar">
    <w:name w:val="TableHeading Char"/>
    <w:link w:val="TableHeading"/>
    <w:rsid w:val="00665156"/>
    <w:rPr>
      <w:rFonts w:ascii="Arial" w:hAnsi="Arial"/>
      <w:b/>
      <w:szCs w:val="22"/>
      <w:lang w:val="en-GB"/>
    </w:rPr>
  </w:style>
  <w:style w:type="paragraph" w:customStyle="1" w:styleId="Tabletext">
    <w:name w:val="Tabletext"/>
    <w:basedOn w:val="Normal"/>
    <w:rsid w:val="00665156"/>
    <w:pPr>
      <w:keepLines/>
      <w:spacing w:after="0"/>
    </w:pPr>
    <w:rPr>
      <w:rFonts w:eastAsia="Calibri"/>
      <w:sz w:val="19"/>
      <w:szCs w:val="22"/>
    </w:rPr>
  </w:style>
  <w:style w:type="paragraph" w:customStyle="1" w:styleId="tab">
    <w:name w:val="tab"/>
    <w:basedOn w:val="Normal"/>
    <w:rsid w:val="001D20FB"/>
    <w:pPr>
      <w:spacing w:before="40" w:after="40"/>
      <w:jc w:val="left"/>
    </w:pPr>
    <w:rPr>
      <w:rFonts w:ascii="Times New Roman" w:hAnsi="Times New Roman"/>
      <w:b/>
      <w:sz w:val="22"/>
    </w:rPr>
  </w:style>
  <w:style w:type="paragraph" w:styleId="BodyText">
    <w:name w:val="Body Text"/>
    <w:basedOn w:val="Normal"/>
    <w:link w:val="BodyTextChar"/>
    <w:rsid w:val="001D20FB"/>
    <w:pPr>
      <w:spacing w:after="180"/>
      <w:jc w:val="left"/>
    </w:pPr>
    <w:rPr>
      <w:rFonts w:ascii="Times New Roman" w:hAnsi="Times New Roman"/>
      <w:sz w:val="18"/>
    </w:rPr>
  </w:style>
  <w:style w:type="character" w:customStyle="1" w:styleId="BodyTextChar">
    <w:name w:val="Body Text Char"/>
    <w:basedOn w:val="DefaultParagraphFont"/>
    <w:link w:val="BodyText"/>
    <w:rsid w:val="001D20FB"/>
    <w:rPr>
      <w:rFonts w:ascii="Times New Roman" w:eastAsia="Times New Roman" w:hAnsi="Times New Roman"/>
      <w:sz w:val="18"/>
      <w:szCs w:val="24"/>
      <w:lang w:val="en-GB"/>
    </w:rPr>
  </w:style>
  <w:style w:type="paragraph" w:customStyle="1" w:styleId="shrink">
    <w:name w:val="shrink"/>
    <w:basedOn w:val="Normal"/>
    <w:rsid w:val="001D20FB"/>
    <w:pPr>
      <w:spacing w:after="0"/>
      <w:jc w:val="left"/>
    </w:pPr>
    <w:rPr>
      <w:rFonts w:ascii="Times New Roman" w:hAnsi="Times New Roman"/>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jginternationa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jginternation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orp PPT Palette">
      <a:dk1>
        <a:srgbClr val="000000"/>
      </a:dk1>
      <a:lt1>
        <a:srgbClr val="FFFFFF"/>
      </a:lt1>
      <a:dk2>
        <a:srgbClr val="535353"/>
      </a:dk2>
      <a:lt2>
        <a:srgbClr val="407EC9"/>
      </a:lt2>
      <a:accent1>
        <a:srgbClr val="00263E"/>
      </a:accent1>
      <a:accent2>
        <a:srgbClr val="6FACDE"/>
      </a:accent2>
      <a:accent3>
        <a:srgbClr val="949300"/>
      </a:accent3>
      <a:accent4>
        <a:srgbClr val="E07E3C"/>
      </a:accent4>
      <a:accent5>
        <a:srgbClr val="F0B323"/>
      </a:accent5>
      <a:accent6>
        <a:srgbClr val="A4C8E1"/>
      </a:accent6>
      <a:hlink>
        <a:srgbClr val="898A89"/>
      </a:hlink>
      <a:folHlink>
        <a:srgbClr val="122D42"/>
      </a:folHlink>
    </a:clrScheme>
    <a:fontScheme name="BSD/GBS Theme - A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BCC0E2AB63574E814F82D2466E4A5E" ma:contentTypeVersion="14" ma:contentTypeDescription="Create a new document." ma:contentTypeScope="" ma:versionID="6e8cbc9591ec1f0fe20a432b6be6c8ae">
  <xsd:schema xmlns:xsd="http://www.w3.org/2001/XMLSchema" xmlns:xs="http://www.w3.org/2001/XMLSchema" xmlns:p="http://schemas.microsoft.com/office/2006/metadata/properties" xmlns:ns3="7da777e9-6c5b-49a1-9694-5f31590f24d5" xmlns:ns4="cd564607-6334-4291-ab95-5dfa5c220069" targetNamespace="http://schemas.microsoft.com/office/2006/metadata/properties" ma:root="true" ma:fieldsID="7c03c535b3e1d53f1b4a3129d92e17ad" ns3:_="" ns4:_="">
    <xsd:import namespace="7da777e9-6c5b-49a1-9694-5f31590f24d5"/>
    <xsd:import namespace="cd564607-6334-4291-ab95-5dfa5c2200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777e9-6c5b-49a1-9694-5f31590f2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64607-6334-4291-ab95-5dfa5c2200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60663-65B6-4C08-B78E-C608239ED85B}">
  <ds:schemaRefs>
    <ds:schemaRef ds:uri="http://schemas.microsoft.com/sharepoint/v3/contenttype/forms"/>
  </ds:schemaRefs>
</ds:datastoreItem>
</file>

<file path=customXml/itemProps2.xml><?xml version="1.0" encoding="utf-8"?>
<ds:datastoreItem xmlns:ds="http://schemas.openxmlformats.org/officeDocument/2006/customXml" ds:itemID="{B1F72516-3B74-47DB-AD44-47B452A2400F}">
  <ds:schemaRefs>
    <ds:schemaRef ds:uri="http://purl.org/dc/dcmitype/"/>
    <ds:schemaRef ds:uri="http://schemas.microsoft.com/office/2006/metadata/properties"/>
    <ds:schemaRef ds:uri="http://purl.org/dc/elements/1.1/"/>
    <ds:schemaRef ds:uri="http://schemas.microsoft.com/office/infopath/2007/PartnerControls"/>
    <ds:schemaRef ds:uri="7da777e9-6c5b-49a1-9694-5f31590f24d5"/>
    <ds:schemaRef ds:uri="http://www.w3.org/XML/1998/namespace"/>
    <ds:schemaRef ds:uri="http://schemas.microsoft.com/office/2006/documentManagement/types"/>
    <ds:schemaRef ds:uri="http://schemas.openxmlformats.org/package/2006/metadata/core-properties"/>
    <ds:schemaRef ds:uri="cd564607-6334-4291-ab95-5dfa5c220069"/>
    <ds:schemaRef ds:uri="http://purl.org/dc/terms/"/>
  </ds:schemaRefs>
</ds:datastoreItem>
</file>

<file path=customXml/itemProps3.xml><?xml version="1.0" encoding="utf-8"?>
<ds:datastoreItem xmlns:ds="http://schemas.openxmlformats.org/officeDocument/2006/customXml" ds:itemID="{3858F0C1-F9C3-4957-9DF0-2C98686CEB46}">
  <ds:schemaRefs>
    <ds:schemaRef ds:uri="http://schemas.microsoft.com/office/2006/metadata/longProperties"/>
  </ds:schemaRefs>
</ds:datastoreItem>
</file>

<file path=customXml/itemProps4.xml><?xml version="1.0" encoding="utf-8"?>
<ds:datastoreItem xmlns:ds="http://schemas.openxmlformats.org/officeDocument/2006/customXml" ds:itemID="{C1DC22E6-20B1-43F1-A997-207E76C56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777e9-6c5b-49a1-9694-5f31590f24d5"/>
    <ds:schemaRef ds:uri="cd564607-6334-4291-ab95-5dfa5c220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E966B0-094F-4AFC-8BDA-EB11B7A0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8338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AJGIBLtd - Word Template</vt:lpstr>
    </vt:vector>
  </TitlesOfParts>
  <Company>Gallagher Benefit Services, Inc.</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AJGIBLtd - Word Template</dc:title>
  <dc:creator>Heather Rookard</dc:creator>
  <cp:lastModifiedBy>Andrea Coroner</cp:lastModifiedBy>
  <cp:revision>2</cp:revision>
  <cp:lastPrinted>2018-04-11T09:32:00Z</cp:lastPrinted>
  <dcterms:created xsi:type="dcterms:W3CDTF">2022-03-09T11:21:00Z</dcterms:created>
  <dcterms:modified xsi:type="dcterms:W3CDTF">2022-03-09T11:21:00Z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Johnson</vt:lpwstr>
  </property>
  <property fmtid="{D5CDD505-2E9C-101B-9397-08002B2CF9AE}" pid="3" name="NotesUNID">
    <vt:lpwstr>ffb40fe6bbdbd4168525759f00568401</vt:lpwstr>
  </property>
  <property fmtid="{D5CDD505-2E9C-101B-9397-08002B2CF9AE}" pid="4" name="BOSS - Practice Area">
    <vt:lpwstr>16;#Consulting Services|7f8b86ff-7274-457b-8599-9e8dd433300c</vt:lpwstr>
  </property>
  <property fmtid="{D5CDD505-2E9C-101B-9397-08002B2CF9AE}" pid="5" name="Link to Page">
    <vt:lpwstr/>
  </property>
  <property fmtid="{D5CDD505-2E9C-101B-9397-08002B2CF9AE}" pid="6" name="NotesTimeStamp">
    <vt:lpwstr>2012-05-10T12:13:57Z</vt:lpwstr>
  </property>
  <property fmtid="{D5CDD505-2E9C-101B-9397-08002B2CF9AE}" pid="7" name="NotesPart">
    <vt:lpwstr>$AlternateFile</vt:lpwstr>
  </property>
  <property fmtid="{D5CDD505-2E9C-101B-9397-08002B2CF9AE}" pid="8" name="BOSS - Process">
    <vt:lpwstr/>
  </property>
  <property fmtid="{D5CDD505-2E9C-101B-9397-08002B2CF9AE}" pid="9" name="Order">
    <vt:lpwstr>501800.000000000</vt:lpwstr>
  </property>
  <property fmtid="{D5CDD505-2E9C-101B-9397-08002B2CF9AE}" pid="10" name="ContentTypeId">
    <vt:lpwstr>0x010100ACBCC0E2AB63574E814F82D2466E4A5E</vt:lpwstr>
  </property>
  <property fmtid="{D5CDD505-2E9C-101B-9397-08002B2CF9AE}" pid="11" name="Consulting Practices">
    <vt:lpwstr/>
  </property>
  <property fmtid="{D5CDD505-2E9C-101B-9397-08002B2CF9AE}" pid="12" name="Industry Practices">
    <vt:lpwstr/>
  </property>
  <property fmtid="{D5CDD505-2E9C-101B-9397-08002B2CF9AE}" pid="13" name="Marketing Keywords">
    <vt:lpwstr/>
  </property>
</Properties>
</file>