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4584"/>
        <w:tblW w:w="9464" w:type="dxa"/>
        <w:tblBorders>
          <w:top w:val="single" w:sz="6" w:space="0" w:color="B22757"/>
          <w:left w:val="single" w:sz="6" w:space="0" w:color="B22757"/>
          <w:bottom w:val="single" w:sz="6" w:space="0" w:color="B22757"/>
          <w:right w:val="single" w:sz="6" w:space="0" w:color="B22757"/>
          <w:insideH w:val="single" w:sz="6" w:space="0" w:color="B22757"/>
          <w:insideV w:val="single" w:sz="6" w:space="0" w:color="B22757"/>
        </w:tblBorders>
        <w:tblCellMar>
          <w:left w:w="0" w:type="dxa"/>
          <w:right w:w="0" w:type="dxa"/>
        </w:tblCellMar>
        <w:tblLook w:val="04A0" w:firstRow="1" w:lastRow="0" w:firstColumn="1" w:lastColumn="0" w:noHBand="0" w:noVBand="1"/>
      </w:tblPr>
      <w:tblGrid>
        <w:gridCol w:w="3961"/>
        <w:gridCol w:w="5503"/>
      </w:tblGrid>
      <w:tr w:rsidR="00A51F72" w:rsidRPr="00FF55D7" w14:paraId="765064B4" w14:textId="77777777" w:rsidTr="00CF3F22">
        <w:trPr>
          <w:trHeight w:val="594"/>
        </w:trPr>
        <w:tc>
          <w:tcPr>
            <w:tcW w:w="3961" w:type="dxa"/>
            <w:tcMar>
              <w:top w:w="8" w:type="dxa"/>
              <w:left w:w="108" w:type="dxa"/>
              <w:bottom w:w="8" w:type="dxa"/>
              <w:right w:w="108" w:type="dxa"/>
            </w:tcMar>
            <w:vAlign w:val="center"/>
            <w:hideMark/>
          </w:tcPr>
          <w:p w14:paraId="1523DADB"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 xml:space="preserve">Date of </w:t>
            </w:r>
            <w:r>
              <w:rPr>
                <w:rFonts w:ascii="Arial" w:eastAsia="Arial" w:hAnsi="Arial" w:cs="Arial"/>
                <w:b/>
                <w:bCs/>
                <w:color w:val="1A2D5F"/>
                <w:sz w:val="24"/>
                <w:szCs w:val="24"/>
                <w:lang w:eastAsia="en-GB"/>
              </w:rPr>
              <w:t>a</w:t>
            </w:r>
            <w:r w:rsidRPr="00FF55D7">
              <w:rPr>
                <w:rFonts w:ascii="Arial" w:eastAsia="Arial" w:hAnsi="Arial" w:cs="Arial"/>
                <w:b/>
                <w:bCs/>
                <w:color w:val="1A2D5F"/>
                <w:sz w:val="24"/>
                <w:szCs w:val="24"/>
                <w:lang w:eastAsia="en-GB"/>
              </w:rPr>
              <w:t>pproval</w:t>
            </w:r>
          </w:p>
        </w:tc>
        <w:tc>
          <w:tcPr>
            <w:tcW w:w="5503" w:type="dxa"/>
            <w:tcMar>
              <w:top w:w="8" w:type="dxa"/>
              <w:left w:w="108" w:type="dxa"/>
              <w:bottom w:w="8" w:type="dxa"/>
              <w:right w:w="108" w:type="dxa"/>
            </w:tcMar>
            <w:vAlign w:val="center"/>
            <w:hideMark/>
          </w:tcPr>
          <w:p w14:paraId="1B8FCA4B" w14:textId="32EF7DD4" w:rsidR="00A51F72" w:rsidRPr="00FF55D7" w:rsidRDefault="004941CE" w:rsidP="00CF3F22">
            <w:pPr>
              <w:spacing w:after="0"/>
              <w:rPr>
                <w:bCs/>
                <w:color w:val="1A2D5F"/>
                <w:sz w:val="24"/>
                <w:szCs w:val="24"/>
              </w:rPr>
            </w:pPr>
            <w:r>
              <w:rPr>
                <w:rFonts w:ascii="Arial" w:eastAsia="Arial" w:hAnsi="Arial" w:cs="Arial"/>
                <w:b/>
                <w:bCs/>
                <w:color w:val="1A2D5F"/>
                <w:sz w:val="24"/>
                <w:szCs w:val="24"/>
                <w:lang w:eastAsia="en-GB"/>
              </w:rPr>
              <w:t>January 2025</w:t>
            </w:r>
          </w:p>
        </w:tc>
      </w:tr>
      <w:tr w:rsidR="00A51F72" w:rsidRPr="00FF55D7" w14:paraId="586B519E" w14:textId="77777777" w:rsidTr="00CF3F22">
        <w:trPr>
          <w:trHeight w:val="594"/>
        </w:trPr>
        <w:tc>
          <w:tcPr>
            <w:tcW w:w="3961" w:type="dxa"/>
            <w:tcMar>
              <w:top w:w="8" w:type="dxa"/>
              <w:left w:w="108" w:type="dxa"/>
              <w:bottom w:w="8" w:type="dxa"/>
              <w:right w:w="108" w:type="dxa"/>
            </w:tcMar>
            <w:vAlign w:val="center"/>
            <w:hideMark/>
          </w:tcPr>
          <w:p w14:paraId="053435D8"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 xml:space="preserve">Responsible </w:t>
            </w:r>
            <w:r>
              <w:rPr>
                <w:rFonts w:ascii="Arial" w:eastAsia="Arial" w:hAnsi="Arial" w:cs="Arial"/>
                <w:b/>
                <w:bCs/>
                <w:color w:val="1A2D5F"/>
                <w:sz w:val="24"/>
                <w:szCs w:val="24"/>
                <w:lang w:eastAsia="en-GB"/>
              </w:rPr>
              <w:t>d</w:t>
            </w:r>
            <w:r w:rsidRPr="00FF55D7">
              <w:rPr>
                <w:rFonts w:ascii="Arial" w:eastAsia="Arial" w:hAnsi="Arial" w:cs="Arial"/>
                <w:b/>
                <w:bCs/>
                <w:color w:val="1A2D5F"/>
                <w:sz w:val="24"/>
                <w:szCs w:val="24"/>
                <w:lang w:eastAsia="en-GB"/>
              </w:rPr>
              <w:t>irector</w:t>
            </w:r>
          </w:p>
        </w:tc>
        <w:tc>
          <w:tcPr>
            <w:tcW w:w="5503" w:type="dxa"/>
            <w:tcMar>
              <w:top w:w="8" w:type="dxa"/>
              <w:left w:w="108" w:type="dxa"/>
              <w:bottom w:w="8" w:type="dxa"/>
              <w:right w:w="108" w:type="dxa"/>
            </w:tcMar>
            <w:vAlign w:val="center"/>
            <w:hideMark/>
          </w:tcPr>
          <w:p w14:paraId="3F025B0A" w14:textId="63DD68E2" w:rsidR="00A51F72" w:rsidRPr="00FF55D7" w:rsidRDefault="00CC2A0C" w:rsidP="00CF3F22">
            <w:pPr>
              <w:spacing w:after="0"/>
              <w:rPr>
                <w:bCs/>
                <w:color w:val="1A2D5F"/>
                <w:sz w:val="24"/>
                <w:szCs w:val="24"/>
              </w:rPr>
            </w:pPr>
            <w:r>
              <w:rPr>
                <w:rFonts w:ascii="Arial" w:eastAsia="Arial" w:hAnsi="Arial" w:cs="Arial"/>
                <w:b/>
                <w:bCs/>
                <w:color w:val="1A2D5F"/>
                <w:sz w:val="24"/>
                <w:szCs w:val="24"/>
                <w:lang w:eastAsia="en-GB"/>
              </w:rPr>
              <w:t>Executive Director of Finance</w:t>
            </w:r>
          </w:p>
        </w:tc>
      </w:tr>
      <w:tr w:rsidR="00A51F72" w:rsidRPr="00FF55D7" w14:paraId="53B4401E" w14:textId="77777777" w:rsidTr="00CF3F22">
        <w:trPr>
          <w:trHeight w:val="594"/>
        </w:trPr>
        <w:tc>
          <w:tcPr>
            <w:tcW w:w="3961" w:type="dxa"/>
            <w:tcMar>
              <w:top w:w="8" w:type="dxa"/>
              <w:left w:w="108" w:type="dxa"/>
              <w:bottom w:w="8" w:type="dxa"/>
              <w:right w:w="108" w:type="dxa"/>
            </w:tcMar>
            <w:vAlign w:val="center"/>
            <w:hideMark/>
          </w:tcPr>
          <w:p w14:paraId="28270313" w14:textId="77777777" w:rsidR="00A51F72" w:rsidRPr="00FF55D7" w:rsidRDefault="00A51F72" w:rsidP="00CF3F22">
            <w:pPr>
              <w:spacing w:after="0"/>
              <w:rPr>
                <w:bCs/>
                <w:color w:val="1A2D5F"/>
                <w:sz w:val="24"/>
                <w:szCs w:val="24"/>
              </w:rPr>
            </w:pPr>
            <w:r>
              <w:rPr>
                <w:rFonts w:ascii="Arial" w:eastAsia="Arial" w:hAnsi="Arial" w:cs="Arial"/>
                <w:b/>
                <w:bCs/>
                <w:color w:val="1A2D5F"/>
                <w:sz w:val="24"/>
                <w:szCs w:val="24"/>
                <w:lang w:eastAsia="en-GB"/>
              </w:rPr>
              <w:t>Policy</w:t>
            </w:r>
            <w:r w:rsidRPr="00FF55D7">
              <w:rPr>
                <w:rFonts w:ascii="Arial" w:eastAsia="Arial" w:hAnsi="Arial" w:cs="Arial"/>
                <w:b/>
                <w:bCs/>
                <w:color w:val="1A2D5F"/>
                <w:sz w:val="24"/>
                <w:szCs w:val="24"/>
                <w:lang w:eastAsia="en-GB"/>
              </w:rPr>
              <w:t xml:space="preserve"> </w:t>
            </w:r>
            <w:r>
              <w:rPr>
                <w:rFonts w:ascii="Arial" w:eastAsia="Arial" w:hAnsi="Arial" w:cs="Arial"/>
                <w:b/>
                <w:bCs/>
                <w:color w:val="1A2D5F"/>
                <w:sz w:val="24"/>
                <w:szCs w:val="24"/>
                <w:lang w:eastAsia="en-GB"/>
              </w:rPr>
              <w:t>m</w:t>
            </w:r>
            <w:r w:rsidRPr="00FF55D7">
              <w:rPr>
                <w:rFonts w:ascii="Arial" w:eastAsia="Arial" w:hAnsi="Arial" w:cs="Arial"/>
                <w:b/>
                <w:bCs/>
                <w:color w:val="1A2D5F"/>
                <w:sz w:val="24"/>
                <w:szCs w:val="24"/>
                <w:lang w:eastAsia="en-GB"/>
              </w:rPr>
              <w:t xml:space="preserve">onitoring </w:t>
            </w:r>
            <w:r>
              <w:rPr>
                <w:rFonts w:ascii="Arial" w:eastAsia="Arial" w:hAnsi="Arial" w:cs="Arial"/>
                <w:b/>
                <w:bCs/>
                <w:color w:val="1A2D5F"/>
                <w:sz w:val="24"/>
                <w:szCs w:val="24"/>
                <w:lang w:eastAsia="en-GB"/>
              </w:rPr>
              <w:t>b</w:t>
            </w:r>
            <w:r w:rsidRPr="00FF55D7">
              <w:rPr>
                <w:rFonts w:ascii="Arial" w:eastAsia="Arial" w:hAnsi="Arial" w:cs="Arial"/>
                <w:b/>
                <w:bCs/>
                <w:color w:val="1A2D5F"/>
                <w:sz w:val="24"/>
                <w:szCs w:val="24"/>
                <w:lang w:eastAsia="en-GB"/>
              </w:rPr>
              <w:t>ody</w:t>
            </w:r>
          </w:p>
        </w:tc>
        <w:tc>
          <w:tcPr>
            <w:tcW w:w="5503" w:type="dxa"/>
            <w:tcMar>
              <w:top w:w="8" w:type="dxa"/>
              <w:left w:w="108" w:type="dxa"/>
              <w:bottom w:w="8" w:type="dxa"/>
              <w:right w:w="108" w:type="dxa"/>
            </w:tcMar>
            <w:vAlign w:val="center"/>
            <w:hideMark/>
          </w:tcPr>
          <w:p w14:paraId="7BADC039" w14:textId="77777777" w:rsidR="00A51F72" w:rsidRPr="00A51F72" w:rsidRDefault="00A51F72" w:rsidP="00CF3F22">
            <w:pPr>
              <w:spacing w:after="0"/>
              <w:rPr>
                <w:rFonts w:ascii="Arial" w:hAnsi="Arial" w:cs="Arial"/>
                <w:b/>
                <w:bCs/>
                <w:color w:val="1A2D5F"/>
                <w:sz w:val="24"/>
                <w:szCs w:val="24"/>
              </w:rPr>
            </w:pPr>
            <w:r w:rsidRPr="00A51F72">
              <w:rPr>
                <w:rFonts w:ascii="Arial" w:hAnsi="Arial" w:cs="Arial"/>
                <w:b/>
                <w:bCs/>
                <w:color w:val="1A2D5F"/>
                <w:sz w:val="24"/>
                <w:szCs w:val="24"/>
              </w:rPr>
              <w:t>Board</w:t>
            </w:r>
          </w:p>
        </w:tc>
      </w:tr>
      <w:tr w:rsidR="00A51F72" w:rsidRPr="00FF55D7" w14:paraId="109D06D9" w14:textId="77777777" w:rsidTr="00CF3F22">
        <w:trPr>
          <w:trHeight w:val="594"/>
        </w:trPr>
        <w:tc>
          <w:tcPr>
            <w:tcW w:w="3961" w:type="dxa"/>
            <w:tcMar>
              <w:top w:w="8" w:type="dxa"/>
              <w:left w:w="108" w:type="dxa"/>
              <w:bottom w:w="8" w:type="dxa"/>
              <w:right w:w="108" w:type="dxa"/>
            </w:tcMar>
            <w:vAlign w:val="center"/>
            <w:hideMark/>
          </w:tcPr>
          <w:p w14:paraId="450CB104"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 xml:space="preserve">Resident </w:t>
            </w:r>
            <w:r>
              <w:rPr>
                <w:rFonts w:ascii="Arial" w:eastAsia="Arial" w:hAnsi="Arial" w:cs="Arial"/>
                <w:b/>
                <w:bCs/>
                <w:color w:val="1A2D5F"/>
                <w:sz w:val="24"/>
                <w:szCs w:val="24"/>
                <w:lang w:eastAsia="en-GB"/>
              </w:rPr>
              <w:t>i</w:t>
            </w:r>
            <w:r w:rsidRPr="00FF55D7">
              <w:rPr>
                <w:rFonts w:ascii="Arial" w:eastAsia="Arial" w:hAnsi="Arial" w:cs="Arial"/>
                <w:b/>
                <w:bCs/>
                <w:color w:val="1A2D5F"/>
                <w:sz w:val="24"/>
                <w:szCs w:val="24"/>
                <w:lang w:eastAsia="en-GB"/>
              </w:rPr>
              <w:t xml:space="preserve">nput into </w:t>
            </w:r>
            <w:r>
              <w:rPr>
                <w:rFonts w:ascii="Arial" w:eastAsia="Arial" w:hAnsi="Arial" w:cs="Arial"/>
                <w:b/>
                <w:bCs/>
                <w:color w:val="1A2D5F"/>
                <w:sz w:val="24"/>
                <w:szCs w:val="24"/>
                <w:lang w:eastAsia="en-GB"/>
              </w:rPr>
              <w:t>policy date</w:t>
            </w:r>
          </w:p>
        </w:tc>
        <w:tc>
          <w:tcPr>
            <w:tcW w:w="5503" w:type="dxa"/>
            <w:tcMar>
              <w:top w:w="8" w:type="dxa"/>
              <w:left w:w="108" w:type="dxa"/>
              <w:bottom w:w="8" w:type="dxa"/>
              <w:right w:w="108" w:type="dxa"/>
            </w:tcMar>
            <w:vAlign w:val="center"/>
          </w:tcPr>
          <w:p w14:paraId="12EFB26F" w14:textId="70D4DC37" w:rsidR="00A51F72" w:rsidRPr="00FF55D7" w:rsidRDefault="00CC2A0C" w:rsidP="00CF3F22">
            <w:pPr>
              <w:spacing w:after="0"/>
              <w:rPr>
                <w:rFonts w:ascii="Arial" w:hAnsi="Arial" w:cs="Arial"/>
                <w:b/>
                <w:bCs/>
                <w:color w:val="1A2D5F"/>
                <w:sz w:val="24"/>
                <w:szCs w:val="24"/>
              </w:rPr>
            </w:pPr>
            <w:bookmarkStart w:id="0" w:name="_GoBack"/>
            <w:bookmarkEnd w:id="0"/>
            <w:r>
              <w:rPr>
                <w:rFonts w:ascii="Arial" w:hAnsi="Arial" w:cs="Arial"/>
                <w:b/>
                <w:bCs/>
                <w:color w:val="1A2D5F"/>
                <w:sz w:val="24"/>
                <w:szCs w:val="24"/>
                <w:lang w:eastAsia="en-GB"/>
              </w:rPr>
              <w:t>CX Committee</w:t>
            </w:r>
          </w:p>
        </w:tc>
      </w:tr>
      <w:tr w:rsidR="00A51F72" w:rsidRPr="00FF55D7" w14:paraId="7912D5BC" w14:textId="77777777" w:rsidTr="00CF3F22">
        <w:trPr>
          <w:trHeight w:val="594"/>
        </w:trPr>
        <w:tc>
          <w:tcPr>
            <w:tcW w:w="3961" w:type="dxa"/>
            <w:tcMar>
              <w:top w:w="8" w:type="dxa"/>
              <w:left w:w="108" w:type="dxa"/>
              <w:bottom w:w="8" w:type="dxa"/>
              <w:right w:w="108" w:type="dxa"/>
            </w:tcMar>
            <w:vAlign w:val="center"/>
            <w:hideMark/>
          </w:tcPr>
          <w:p w14:paraId="731C60FC"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 xml:space="preserve">Date for </w:t>
            </w:r>
            <w:r>
              <w:rPr>
                <w:rFonts w:ascii="Arial" w:eastAsia="Arial" w:hAnsi="Arial" w:cs="Arial"/>
                <w:b/>
                <w:bCs/>
                <w:color w:val="1A2D5F"/>
                <w:sz w:val="24"/>
                <w:szCs w:val="24"/>
                <w:lang w:eastAsia="en-GB"/>
              </w:rPr>
              <w:t>policy</w:t>
            </w:r>
            <w:r w:rsidRPr="00FF55D7">
              <w:rPr>
                <w:rFonts w:ascii="Arial" w:eastAsia="Arial" w:hAnsi="Arial" w:cs="Arial"/>
                <w:b/>
                <w:bCs/>
                <w:color w:val="1A2D5F"/>
                <w:sz w:val="24"/>
                <w:szCs w:val="24"/>
                <w:lang w:eastAsia="en-GB"/>
              </w:rPr>
              <w:t xml:space="preserve"> </w:t>
            </w:r>
            <w:r>
              <w:rPr>
                <w:rFonts w:ascii="Arial" w:eastAsia="Arial" w:hAnsi="Arial" w:cs="Arial"/>
                <w:b/>
                <w:bCs/>
                <w:color w:val="1A2D5F"/>
                <w:sz w:val="24"/>
                <w:szCs w:val="24"/>
                <w:lang w:eastAsia="en-GB"/>
              </w:rPr>
              <w:t>r</w:t>
            </w:r>
            <w:r w:rsidRPr="00FF55D7">
              <w:rPr>
                <w:rFonts w:ascii="Arial" w:eastAsia="Arial" w:hAnsi="Arial" w:cs="Arial"/>
                <w:b/>
                <w:bCs/>
                <w:color w:val="1A2D5F"/>
                <w:sz w:val="24"/>
                <w:szCs w:val="24"/>
                <w:lang w:eastAsia="en-GB"/>
              </w:rPr>
              <w:t>eview</w:t>
            </w:r>
          </w:p>
        </w:tc>
        <w:tc>
          <w:tcPr>
            <w:tcW w:w="5503" w:type="dxa"/>
            <w:tcMar>
              <w:top w:w="8" w:type="dxa"/>
              <w:left w:w="108" w:type="dxa"/>
              <w:bottom w:w="8" w:type="dxa"/>
              <w:right w:w="108" w:type="dxa"/>
            </w:tcMar>
            <w:vAlign w:val="center"/>
            <w:hideMark/>
          </w:tcPr>
          <w:p w14:paraId="22C19F8E" w14:textId="36082088" w:rsidR="008E3142" w:rsidRPr="008E3142" w:rsidRDefault="008E3142" w:rsidP="00CF3F22">
            <w:pPr>
              <w:spacing w:after="0"/>
              <w:rPr>
                <w:rFonts w:ascii="Arial" w:eastAsia="Arial" w:hAnsi="Arial" w:cs="Arial"/>
                <w:b/>
                <w:bCs/>
                <w:color w:val="1A2D5F"/>
                <w:sz w:val="24"/>
                <w:szCs w:val="24"/>
                <w:lang w:eastAsia="en-GB"/>
              </w:rPr>
            </w:pPr>
            <w:r>
              <w:rPr>
                <w:rFonts w:ascii="Arial" w:eastAsia="Arial" w:hAnsi="Arial" w:cs="Arial"/>
                <w:b/>
                <w:bCs/>
                <w:color w:val="1A2D5F"/>
                <w:sz w:val="24"/>
                <w:szCs w:val="24"/>
                <w:lang w:eastAsia="en-GB"/>
              </w:rPr>
              <w:t>Every 2 years</w:t>
            </w:r>
          </w:p>
        </w:tc>
      </w:tr>
      <w:tr w:rsidR="00A51F72" w:rsidRPr="00FF55D7" w14:paraId="50F40561" w14:textId="77777777" w:rsidTr="00CF3F22">
        <w:trPr>
          <w:trHeight w:val="594"/>
        </w:trPr>
        <w:tc>
          <w:tcPr>
            <w:tcW w:w="3961" w:type="dxa"/>
            <w:tcMar>
              <w:top w:w="8" w:type="dxa"/>
              <w:left w:w="108" w:type="dxa"/>
              <w:bottom w:w="8" w:type="dxa"/>
              <w:right w:w="108" w:type="dxa"/>
            </w:tcMar>
            <w:vAlign w:val="center"/>
            <w:hideMark/>
          </w:tcPr>
          <w:p w14:paraId="629E949E"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 xml:space="preserve">Linked </w:t>
            </w:r>
            <w:r>
              <w:rPr>
                <w:rFonts w:ascii="Arial" w:eastAsia="Arial" w:hAnsi="Arial" w:cs="Arial"/>
                <w:b/>
                <w:bCs/>
                <w:color w:val="1A2D5F"/>
                <w:sz w:val="24"/>
                <w:szCs w:val="24"/>
                <w:lang w:eastAsia="en-GB"/>
              </w:rPr>
              <w:t>s</w:t>
            </w:r>
            <w:r w:rsidRPr="00FF55D7">
              <w:rPr>
                <w:rFonts w:ascii="Arial" w:eastAsia="Arial" w:hAnsi="Arial" w:cs="Arial"/>
                <w:b/>
                <w:bCs/>
                <w:color w:val="1A2D5F"/>
                <w:sz w:val="24"/>
                <w:szCs w:val="24"/>
                <w:lang w:eastAsia="en-GB"/>
              </w:rPr>
              <w:t>trategies</w:t>
            </w:r>
            <w:r>
              <w:rPr>
                <w:rFonts w:ascii="Arial" w:eastAsia="Arial" w:hAnsi="Arial" w:cs="Arial"/>
                <w:b/>
                <w:bCs/>
                <w:color w:val="1A2D5F"/>
                <w:sz w:val="24"/>
                <w:szCs w:val="24"/>
                <w:lang w:eastAsia="en-GB"/>
              </w:rPr>
              <w:t>/policies</w:t>
            </w:r>
          </w:p>
        </w:tc>
        <w:tc>
          <w:tcPr>
            <w:tcW w:w="5503" w:type="dxa"/>
            <w:tcMar>
              <w:top w:w="8" w:type="dxa"/>
              <w:left w:w="108" w:type="dxa"/>
              <w:bottom w:w="8" w:type="dxa"/>
              <w:right w:w="108" w:type="dxa"/>
            </w:tcMar>
            <w:vAlign w:val="center"/>
            <w:hideMark/>
          </w:tcPr>
          <w:p w14:paraId="517031BA" w14:textId="0141E5B7" w:rsidR="00A51F72" w:rsidRPr="00CF3F22" w:rsidRDefault="00A51F72" w:rsidP="00CF3F22">
            <w:pPr>
              <w:spacing w:after="0"/>
              <w:rPr>
                <w:rFonts w:ascii="Arial" w:hAnsi="Arial" w:cs="Arial"/>
                <w:b/>
                <w:bCs/>
                <w:color w:val="1A2D5F"/>
                <w:sz w:val="24"/>
                <w:szCs w:val="24"/>
              </w:rPr>
            </w:pPr>
            <w:r w:rsidRPr="00A977E5">
              <w:rPr>
                <w:rFonts w:ascii="Arial" w:eastAsia="Arial" w:hAnsi="Arial" w:cs="Arial"/>
                <w:b/>
                <w:bCs/>
                <w:color w:val="1A2D5F"/>
                <w:sz w:val="24"/>
                <w:szCs w:val="24"/>
                <w:lang w:eastAsia="en-GB"/>
              </w:rPr>
              <w:t xml:space="preserve">Value for Money </w:t>
            </w:r>
            <w:r w:rsidR="005E7521" w:rsidRPr="00A977E5">
              <w:rPr>
                <w:rFonts w:ascii="Arial" w:eastAsia="Arial" w:hAnsi="Arial" w:cs="Arial"/>
                <w:b/>
                <w:bCs/>
                <w:color w:val="1A2D5F"/>
                <w:sz w:val="24"/>
                <w:szCs w:val="24"/>
                <w:lang w:eastAsia="en-GB"/>
              </w:rPr>
              <w:t>strategy</w:t>
            </w:r>
          </w:p>
          <w:p w14:paraId="5830964B" w14:textId="5F74F0C0" w:rsidR="00A51F72" w:rsidRPr="00CF3F22" w:rsidRDefault="00A51F72" w:rsidP="00CF3F22">
            <w:pPr>
              <w:spacing w:after="0"/>
              <w:rPr>
                <w:rFonts w:ascii="Arial" w:hAnsi="Arial" w:cs="Arial"/>
                <w:b/>
                <w:bCs/>
                <w:color w:val="1A2D5F"/>
                <w:sz w:val="24"/>
                <w:szCs w:val="24"/>
              </w:rPr>
            </w:pPr>
            <w:r w:rsidRPr="00A977E5">
              <w:rPr>
                <w:rFonts w:ascii="Arial" w:eastAsia="Arial" w:hAnsi="Arial" w:cs="Arial"/>
                <w:b/>
                <w:bCs/>
                <w:color w:val="1A2D5F"/>
                <w:sz w:val="24"/>
                <w:szCs w:val="24"/>
                <w:lang w:eastAsia="en-GB"/>
              </w:rPr>
              <w:t>Resident Involvement</w:t>
            </w:r>
            <w:r w:rsidR="003F4DD6" w:rsidRPr="00A977E5">
              <w:rPr>
                <w:rFonts w:ascii="Arial" w:eastAsia="Arial" w:hAnsi="Arial" w:cs="Arial"/>
                <w:b/>
                <w:bCs/>
                <w:color w:val="1A2D5F"/>
                <w:sz w:val="24"/>
                <w:szCs w:val="24"/>
                <w:lang w:eastAsia="en-GB"/>
              </w:rPr>
              <w:t xml:space="preserve"> strategy</w:t>
            </w:r>
          </w:p>
          <w:p w14:paraId="155160C7" w14:textId="39474932" w:rsidR="00322157" w:rsidRPr="00A977E5" w:rsidRDefault="00322157" w:rsidP="00CF3F22">
            <w:pPr>
              <w:spacing w:after="0"/>
              <w:rPr>
                <w:rFonts w:ascii="Arial" w:hAnsi="Arial" w:cs="Arial"/>
                <w:b/>
                <w:bCs/>
                <w:color w:val="1A2D5F"/>
                <w:sz w:val="24"/>
                <w:szCs w:val="24"/>
              </w:rPr>
            </w:pPr>
            <w:r w:rsidRPr="00A977E5">
              <w:rPr>
                <w:rFonts w:ascii="Arial" w:hAnsi="Arial" w:cs="Arial"/>
                <w:b/>
                <w:bCs/>
                <w:color w:val="1A2D5F"/>
                <w:sz w:val="24"/>
                <w:szCs w:val="24"/>
              </w:rPr>
              <w:t>Living well fund policy</w:t>
            </w:r>
          </w:p>
          <w:p w14:paraId="7ECFCEFD" w14:textId="44A5EC5C" w:rsidR="00322157" w:rsidRPr="00CD58FF" w:rsidRDefault="00322157" w:rsidP="00CF3F22">
            <w:pPr>
              <w:spacing w:after="0"/>
              <w:rPr>
                <w:rFonts w:ascii="Arial" w:hAnsi="Arial" w:cs="Arial"/>
                <w:b/>
                <w:bCs/>
                <w:color w:val="1A2D5F"/>
                <w:sz w:val="24"/>
                <w:szCs w:val="24"/>
              </w:rPr>
            </w:pPr>
            <w:r w:rsidRPr="00CD58FF">
              <w:rPr>
                <w:rFonts w:ascii="Arial" w:hAnsi="Arial" w:cs="Arial"/>
                <w:b/>
                <w:bCs/>
                <w:color w:val="1A2D5F"/>
                <w:sz w:val="24"/>
                <w:szCs w:val="24"/>
              </w:rPr>
              <w:t>Mutual Exchange policy</w:t>
            </w:r>
          </w:p>
          <w:p w14:paraId="2C6957C5" w14:textId="6F906B1A" w:rsidR="00322157" w:rsidRPr="00CD58FF" w:rsidRDefault="00322157" w:rsidP="00CF3F22">
            <w:pPr>
              <w:spacing w:after="0"/>
              <w:rPr>
                <w:rFonts w:ascii="Arial" w:hAnsi="Arial" w:cs="Arial"/>
                <w:b/>
                <w:bCs/>
                <w:color w:val="1A2D5F"/>
                <w:sz w:val="24"/>
                <w:szCs w:val="24"/>
              </w:rPr>
            </w:pPr>
            <w:r w:rsidRPr="00CD58FF">
              <w:rPr>
                <w:rFonts w:ascii="Arial" w:hAnsi="Arial" w:cs="Arial"/>
                <w:b/>
                <w:bCs/>
                <w:color w:val="1A2D5F"/>
                <w:sz w:val="24"/>
                <w:szCs w:val="24"/>
              </w:rPr>
              <w:t>Allocations policy</w:t>
            </w:r>
          </w:p>
          <w:p w14:paraId="1269B0CB" w14:textId="391AABA4" w:rsidR="00322157" w:rsidRPr="00CD58FF" w:rsidRDefault="00322157" w:rsidP="00CF3F22">
            <w:pPr>
              <w:spacing w:after="0"/>
              <w:rPr>
                <w:rFonts w:ascii="Arial" w:hAnsi="Arial" w:cs="Arial"/>
                <w:b/>
                <w:bCs/>
                <w:color w:val="1A2D5F"/>
                <w:sz w:val="24"/>
                <w:szCs w:val="24"/>
              </w:rPr>
            </w:pPr>
            <w:r w:rsidRPr="00CD58FF">
              <w:rPr>
                <w:rFonts w:ascii="Arial" w:hAnsi="Arial" w:cs="Arial"/>
                <w:b/>
                <w:bCs/>
                <w:color w:val="1A2D5F"/>
                <w:sz w:val="24"/>
                <w:szCs w:val="24"/>
              </w:rPr>
              <w:t>Wyth Everyone Strategy</w:t>
            </w:r>
          </w:p>
          <w:p w14:paraId="4F37756A" w14:textId="6E6F7752" w:rsidR="00322157" w:rsidRPr="00071F52" w:rsidRDefault="00322157" w:rsidP="00CF3F22">
            <w:pPr>
              <w:spacing w:after="0"/>
              <w:rPr>
                <w:rFonts w:ascii="Arial" w:hAnsi="Arial" w:cs="Arial"/>
                <w:b/>
                <w:bCs/>
                <w:color w:val="1A2D5F"/>
                <w:sz w:val="24"/>
                <w:szCs w:val="24"/>
              </w:rPr>
            </w:pPr>
            <w:r w:rsidRPr="00071F52">
              <w:rPr>
                <w:rFonts w:ascii="Arial" w:hAnsi="Arial" w:cs="Arial"/>
                <w:b/>
                <w:bCs/>
                <w:color w:val="1A2D5F"/>
                <w:sz w:val="24"/>
                <w:szCs w:val="24"/>
              </w:rPr>
              <w:t>Tenancy Management Policy</w:t>
            </w:r>
          </w:p>
          <w:p w14:paraId="67DF4EA3" w14:textId="70A2D331" w:rsidR="00A51F72" w:rsidRPr="00CF3F22" w:rsidRDefault="00A51F72" w:rsidP="00CF3F22">
            <w:pPr>
              <w:spacing w:after="0"/>
              <w:rPr>
                <w:rFonts w:ascii="Arial" w:hAnsi="Arial" w:cs="Arial"/>
                <w:b/>
                <w:bCs/>
                <w:color w:val="1A2D5F"/>
                <w:sz w:val="24"/>
                <w:szCs w:val="24"/>
              </w:rPr>
            </w:pPr>
            <w:r w:rsidRPr="00C955E7">
              <w:rPr>
                <w:rFonts w:ascii="Arial" w:eastAsia="Arial" w:hAnsi="Arial" w:cs="Arial"/>
                <w:b/>
                <w:bCs/>
                <w:color w:val="1A2D5F"/>
                <w:sz w:val="24"/>
                <w:szCs w:val="24"/>
                <w:lang w:eastAsia="en-GB"/>
              </w:rPr>
              <w:t>Financial Inclusion</w:t>
            </w:r>
            <w:r w:rsidR="003F4DD6" w:rsidRPr="00C955E7">
              <w:rPr>
                <w:rFonts w:ascii="Arial" w:eastAsia="Arial" w:hAnsi="Arial" w:cs="Arial"/>
                <w:b/>
                <w:bCs/>
                <w:color w:val="1A2D5F"/>
                <w:sz w:val="24"/>
                <w:szCs w:val="24"/>
                <w:lang w:eastAsia="en-GB"/>
              </w:rPr>
              <w:t xml:space="preserve"> Strategy (draft)</w:t>
            </w:r>
          </w:p>
          <w:p w14:paraId="7CD8A3A5" w14:textId="49E8B74A" w:rsidR="00A51F72" w:rsidRPr="00A977E5" w:rsidRDefault="00A51F72" w:rsidP="00CF3F22">
            <w:pPr>
              <w:spacing w:after="0"/>
              <w:rPr>
                <w:rFonts w:ascii="Arial" w:eastAsia="Arial" w:hAnsi="Arial" w:cs="Arial"/>
                <w:b/>
                <w:bCs/>
                <w:color w:val="1A2D5F"/>
                <w:sz w:val="24"/>
                <w:szCs w:val="24"/>
                <w:lang w:eastAsia="en-GB"/>
              </w:rPr>
            </w:pPr>
            <w:r w:rsidRPr="00A977E5">
              <w:rPr>
                <w:rFonts w:ascii="Arial" w:eastAsia="Arial" w:hAnsi="Arial" w:cs="Arial"/>
                <w:b/>
                <w:bCs/>
                <w:color w:val="1A2D5F"/>
                <w:sz w:val="24"/>
                <w:szCs w:val="24"/>
                <w:lang w:eastAsia="en-GB"/>
              </w:rPr>
              <w:t>Asset Management</w:t>
            </w:r>
            <w:r w:rsidR="005E7521" w:rsidRPr="00A977E5">
              <w:rPr>
                <w:rFonts w:ascii="Arial" w:eastAsia="Arial" w:hAnsi="Arial" w:cs="Arial"/>
                <w:b/>
                <w:bCs/>
                <w:color w:val="1A2D5F"/>
                <w:sz w:val="24"/>
                <w:szCs w:val="24"/>
                <w:lang w:eastAsia="en-GB"/>
              </w:rPr>
              <w:t xml:space="preserve"> Strategy</w:t>
            </w:r>
          </w:p>
          <w:p w14:paraId="1E0AE861" w14:textId="21EA11DB" w:rsidR="00BE3D12" w:rsidRPr="00CF3F22" w:rsidRDefault="00BE3D12" w:rsidP="00CF3F22">
            <w:pPr>
              <w:spacing w:after="0"/>
              <w:rPr>
                <w:rFonts w:ascii="Arial" w:hAnsi="Arial" w:cs="Arial"/>
                <w:b/>
                <w:bCs/>
                <w:color w:val="1F3864" w:themeColor="accent1" w:themeShade="80"/>
                <w:sz w:val="24"/>
                <w:szCs w:val="24"/>
              </w:rPr>
            </w:pPr>
            <w:r w:rsidRPr="00CF3F22">
              <w:rPr>
                <w:rFonts w:ascii="Arial" w:hAnsi="Arial" w:cs="Arial"/>
                <w:b/>
                <w:bCs/>
                <w:color w:val="1F3864" w:themeColor="accent1" w:themeShade="80"/>
                <w:sz w:val="24"/>
                <w:szCs w:val="24"/>
              </w:rPr>
              <w:t>Procuremen</w:t>
            </w:r>
            <w:r w:rsidR="008E3142" w:rsidRPr="00CF3F22">
              <w:rPr>
                <w:rFonts w:ascii="Arial" w:hAnsi="Arial" w:cs="Arial"/>
                <w:b/>
                <w:bCs/>
                <w:color w:val="1F3864" w:themeColor="accent1" w:themeShade="80"/>
                <w:sz w:val="24"/>
                <w:szCs w:val="24"/>
              </w:rPr>
              <w:t>t p</w:t>
            </w:r>
            <w:r w:rsidRPr="00CF3F22">
              <w:rPr>
                <w:rFonts w:ascii="Arial" w:hAnsi="Arial" w:cs="Arial"/>
                <w:b/>
                <w:bCs/>
                <w:color w:val="1F3864" w:themeColor="accent1" w:themeShade="80"/>
                <w:sz w:val="24"/>
                <w:szCs w:val="24"/>
              </w:rPr>
              <w:t>olicy</w:t>
            </w:r>
          </w:p>
          <w:p w14:paraId="5D180942" w14:textId="77777777" w:rsidR="00CF3F22" w:rsidRDefault="008E3142" w:rsidP="00CF3F22">
            <w:pPr>
              <w:spacing w:after="0"/>
              <w:rPr>
                <w:rFonts w:ascii="Arial" w:hAnsi="Arial" w:cs="Arial"/>
                <w:b/>
                <w:bCs/>
                <w:color w:val="1A2D5F"/>
                <w:sz w:val="24"/>
                <w:szCs w:val="24"/>
              </w:rPr>
            </w:pPr>
            <w:r w:rsidRPr="00A977E5">
              <w:rPr>
                <w:rFonts w:ascii="Arial" w:hAnsi="Arial" w:cs="Arial"/>
                <w:b/>
                <w:bCs/>
                <w:color w:val="1A2D5F"/>
                <w:sz w:val="24"/>
                <w:szCs w:val="24"/>
              </w:rPr>
              <w:t>Rent Arrears policy</w:t>
            </w:r>
            <w:r w:rsidR="00CF3F22">
              <w:rPr>
                <w:rFonts w:ascii="Arial" w:hAnsi="Arial" w:cs="Arial"/>
                <w:b/>
                <w:bCs/>
                <w:color w:val="1A2D5F"/>
                <w:sz w:val="24"/>
                <w:szCs w:val="24"/>
              </w:rPr>
              <w:t xml:space="preserve"> </w:t>
            </w:r>
          </w:p>
          <w:p w14:paraId="1C262877" w14:textId="3FEC08BD" w:rsidR="00A977E5" w:rsidRPr="00A977E5" w:rsidRDefault="009A6E79"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Current Tenant Income Recovery Policy</w:t>
            </w:r>
          </w:p>
          <w:p w14:paraId="272C7604" w14:textId="2A3C9BD0" w:rsidR="00A977E5" w:rsidRPr="00A977E5" w:rsidRDefault="009A6E79"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Leaseholder Arrears Policy</w:t>
            </w:r>
          </w:p>
          <w:p w14:paraId="1DAE1386" w14:textId="3A2FC0C4" w:rsidR="00A977E5" w:rsidRPr="00A977E5" w:rsidRDefault="009A6E79"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Former Tenants Arrears Policy</w:t>
            </w:r>
          </w:p>
          <w:p w14:paraId="6B34C7FE" w14:textId="62E95135" w:rsidR="00A977E5" w:rsidRPr="00A977E5" w:rsidRDefault="009A6E79"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Financial Inclusion Policy</w:t>
            </w:r>
          </w:p>
          <w:p w14:paraId="67326DEA" w14:textId="5B731244" w:rsidR="009A6E79" w:rsidRPr="00A977E5" w:rsidRDefault="00A977E5"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C</w:t>
            </w:r>
            <w:r w:rsidR="009A6E79" w:rsidRPr="00A977E5">
              <w:rPr>
                <w:rFonts w:ascii="Arial" w:hAnsi="Arial" w:cs="Arial"/>
                <w:b/>
                <w:color w:val="1F3864" w:themeColor="accent1" w:themeShade="80"/>
                <w:sz w:val="24"/>
                <w:szCs w:val="24"/>
              </w:rPr>
              <w:t>omplaints Policy</w:t>
            </w:r>
          </w:p>
          <w:p w14:paraId="5B6B7227" w14:textId="4E85F88D" w:rsidR="00A977E5" w:rsidRPr="00A977E5" w:rsidRDefault="00A977E5" w:rsidP="00CF3F22">
            <w:pPr>
              <w:spacing w:after="0"/>
              <w:rPr>
                <w:rFonts w:ascii="Arial" w:hAnsi="Arial" w:cs="Arial"/>
                <w:b/>
                <w:color w:val="1F3864" w:themeColor="accent1" w:themeShade="80"/>
                <w:sz w:val="24"/>
                <w:szCs w:val="24"/>
              </w:rPr>
            </w:pPr>
            <w:r w:rsidRPr="00A977E5">
              <w:rPr>
                <w:rFonts w:ascii="Arial" w:hAnsi="Arial" w:cs="Arial"/>
                <w:b/>
                <w:color w:val="1F3864" w:themeColor="accent1" w:themeShade="80"/>
                <w:sz w:val="24"/>
                <w:szCs w:val="24"/>
              </w:rPr>
              <w:t>WCHG’s</w:t>
            </w:r>
            <w:r w:rsidR="009C2838">
              <w:rPr>
                <w:rFonts w:ascii="Arial" w:hAnsi="Arial" w:cs="Arial"/>
                <w:b/>
                <w:color w:val="1F3864" w:themeColor="accent1" w:themeShade="80"/>
                <w:sz w:val="24"/>
                <w:szCs w:val="24"/>
              </w:rPr>
              <w:t xml:space="preserve"> </w:t>
            </w:r>
            <w:r w:rsidRPr="00A977E5">
              <w:rPr>
                <w:rFonts w:ascii="Arial" w:hAnsi="Arial" w:cs="Arial"/>
                <w:b/>
                <w:color w:val="1F3864" w:themeColor="accent1" w:themeShade="80"/>
                <w:sz w:val="24"/>
                <w:szCs w:val="24"/>
              </w:rPr>
              <w:t>Financial Regulations</w:t>
            </w:r>
            <w:r w:rsidR="009C2838">
              <w:rPr>
                <w:rFonts w:ascii="Arial" w:hAnsi="Arial" w:cs="Arial"/>
                <w:b/>
                <w:color w:val="1F3864" w:themeColor="accent1" w:themeShade="80"/>
                <w:sz w:val="24"/>
                <w:szCs w:val="24"/>
              </w:rPr>
              <w:t xml:space="preserve"> </w:t>
            </w:r>
            <w:r w:rsidRPr="00A977E5">
              <w:rPr>
                <w:rFonts w:ascii="Arial" w:hAnsi="Arial" w:cs="Arial"/>
                <w:b/>
                <w:color w:val="1F3864" w:themeColor="accent1" w:themeShade="80"/>
                <w:sz w:val="24"/>
                <w:szCs w:val="24"/>
              </w:rPr>
              <w:t>&amp; Standing Orders</w:t>
            </w:r>
          </w:p>
          <w:p w14:paraId="12FA2B2A" w14:textId="77777777" w:rsidR="00A977E5" w:rsidRDefault="00A977E5" w:rsidP="00CF3F22">
            <w:pPr>
              <w:spacing w:after="0"/>
            </w:pPr>
          </w:p>
          <w:p w14:paraId="3DE68E75" w14:textId="77777777" w:rsidR="00BE3D12" w:rsidRPr="00FF55D7" w:rsidRDefault="00BE3D12" w:rsidP="00CF3F22">
            <w:pPr>
              <w:spacing w:after="0"/>
              <w:rPr>
                <w:bCs/>
                <w:color w:val="1A2D5F"/>
                <w:sz w:val="24"/>
                <w:szCs w:val="24"/>
              </w:rPr>
            </w:pPr>
          </w:p>
        </w:tc>
      </w:tr>
      <w:tr w:rsidR="00A51F72" w:rsidRPr="00FF55D7" w14:paraId="135C589A" w14:textId="77777777" w:rsidTr="00CF3F22">
        <w:trPr>
          <w:trHeight w:val="594"/>
        </w:trPr>
        <w:tc>
          <w:tcPr>
            <w:tcW w:w="3961" w:type="dxa"/>
            <w:tcMar>
              <w:top w:w="8" w:type="dxa"/>
              <w:left w:w="108" w:type="dxa"/>
              <w:bottom w:w="8" w:type="dxa"/>
              <w:right w:w="108" w:type="dxa"/>
            </w:tcMar>
            <w:vAlign w:val="center"/>
            <w:hideMark/>
          </w:tcPr>
          <w:p w14:paraId="3C7F4323" w14:textId="77777777"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Version</w:t>
            </w:r>
            <w:r>
              <w:rPr>
                <w:rFonts w:ascii="Arial" w:eastAsia="Arial" w:hAnsi="Arial" w:cs="Arial"/>
                <w:b/>
                <w:bCs/>
                <w:color w:val="1A2D5F"/>
                <w:sz w:val="24"/>
                <w:szCs w:val="24"/>
                <w:lang w:eastAsia="en-GB"/>
              </w:rPr>
              <w:t>/date</w:t>
            </w:r>
          </w:p>
        </w:tc>
        <w:tc>
          <w:tcPr>
            <w:tcW w:w="5503" w:type="dxa"/>
            <w:tcMar>
              <w:top w:w="8" w:type="dxa"/>
              <w:left w:w="108" w:type="dxa"/>
              <w:bottom w:w="8" w:type="dxa"/>
              <w:right w:w="108" w:type="dxa"/>
            </w:tcMar>
            <w:vAlign w:val="center"/>
            <w:hideMark/>
          </w:tcPr>
          <w:p w14:paraId="793F7AF1" w14:textId="050F4649" w:rsidR="00A51F72" w:rsidRPr="00FF55D7" w:rsidRDefault="00A51F72" w:rsidP="00CF3F22">
            <w:pPr>
              <w:spacing w:after="0"/>
              <w:rPr>
                <w:bCs/>
                <w:color w:val="1A2D5F"/>
                <w:sz w:val="24"/>
                <w:szCs w:val="24"/>
              </w:rPr>
            </w:pPr>
            <w:r w:rsidRPr="00FF55D7">
              <w:rPr>
                <w:rFonts w:ascii="Arial" w:eastAsia="Arial" w:hAnsi="Arial" w:cs="Arial"/>
                <w:b/>
                <w:bCs/>
                <w:color w:val="1A2D5F"/>
                <w:sz w:val="24"/>
                <w:szCs w:val="24"/>
                <w:lang w:eastAsia="en-GB"/>
              </w:rPr>
              <w:t>V</w:t>
            </w:r>
            <w:r>
              <w:rPr>
                <w:rFonts w:ascii="Arial" w:eastAsia="Arial" w:hAnsi="Arial" w:cs="Arial"/>
                <w:b/>
                <w:bCs/>
                <w:color w:val="1A2D5F"/>
                <w:sz w:val="24"/>
                <w:szCs w:val="24"/>
                <w:lang w:eastAsia="en-GB"/>
              </w:rPr>
              <w:t>1</w:t>
            </w:r>
            <w:r w:rsidRPr="00FF55D7">
              <w:rPr>
                <w:rFonts w:ascii="Arial" w:eastAsia="Arial" w:hAnsi="Arial" w:cs="Arial"/>
                <w:b/>
                <w:bCs/>
                <w:color w:val="1A2D5F"/>
                <w:sz w:val="24"/>
                <w:szCs w:val="24"/>
                <w:lang w:eastAsia="en-GB"/>
              </w:rPr>
              <w:t>.</w:t>
            </w:r>
            <w:r>
              <w:rPr>
                <w:rFonts w:ascii="Arial" w:eastAsia="Arial" w:hAnsi="Arial" w:cs="Arial"/>
                <w:b/>
                <w:bCs/>
                <w:color w:val="1A2D5F"/>
                <w:sz w:val="24"/>
                <w:szCs w:val="24"/>
                <w:lang w:eastAsia="en-GB"/>
              </w:rPr>
              <w:t xml:space="preserve">1 </w:t>
            </w:r>
            <w:r w:rsidR="004941CE">
              <w:rPr>
                <w:rFonts w:ascii="Arial" w:eastAsia="Arial" w:hAnsi="Arial" w:cs="Arial"/>
                <w:b/>
                <w:bCs/>
                <w:color w:val="1A2D5F"/>
                <w:sz w:val="24"/>
                <w:szCs w:val="24"/>
                <w:lang w:eastAsia="en-GB"/>
              </w:rPr>
              <w:t>–</w:t>
            </w:r>
            <w:r>
              <w:rPr>
                <w:rFonts w:ascii="Arial" w:eastAsia="Arial" w:hAnsi="Arial" w:cs="Arial"/>
                <w:b/>
                <w:bCs/>
                <w:color w:val="1A2D5F"/>
                <w:sz w:val="24"/>
                <w:szCs w:val="24"/>
                <w:lang w:eastAsia="en-GB"/>
              </w:rPr>
              <w:t xml:space="preserve"> </w:t>
            </w:r>
            <w:r w:rsidR="004941CE">
              <w:rPr>
                <w:rFonts w:ascii="Arial" w:eastAsia="Arial" w:hAnsi="Arial" w:cs="Arial"/>
                <w:b/>
                <w:bCs/>
                <w:color w:val="1A2D5F"/>
                <w:sz w:val="24"/>
                <w:szCs w:val="24"/>
                <w:lang w:eastAsia="en-GB"/>
              </w:rPr>
              <w:t>January 2025</w:t>
            </w:r>
          </w:p>
        </w:tc>
      </w:tr>
    </w:tbl>
    <w:p w14:paraId="58BFD8E5" w14:textId="77777777" w:rsidR="00A51F72" w:rsidRDefault="00A51F72" w:rsidP="00543236">
      <w:pPr>
        <w:ind w:left="0"/>
        <w:rPr>
          <w:rFonts w:ascii="Arial" w:hAnsi="Arial" w:cs="Arial"/>
          <w:b/>
        </w:rPr>
      </w:pPr>
    </w:p>
    <w:p w14:paraId="753E4FCA" w14:textId="77777777" w:rsidR="00CF3F22" w:rsidRDefault="00CF3F22" w:rsidP="00CF3F22">
      <w:pPr>
        <w:ind w:left="0"/>
        <w:jc w:val="center"/>
        <w:rPr>
          <w:rFonts w:ascii="Arial" w:hAnsi="Arial" w:cs="Arial"/>
          <w:b/>
          <w:sz w:val="32"/>
          <w:szCs w:val="32"/>
        </w:rPr>
      </w:pPr>
    </w:p>
    <w:p w14:paraId="626D05DD" w14:textId="77777777" w:rsidR="00CF3F22" w:rsidRDefault="00CF3F22" w:rsidP="00CF3F22">
      <w:pPr>
        <w:ind w:left="0"/>
        <w:jc w:val="center"/>
        <w:rPr>
          <w:rFonts w:ascii="Arial" w:hAnsi="Arial" w:cs="Arial"/>
          <w:b/>
          <w:sz w:val="32"/>
          <w:szCs w:val="32"/>
        </w:rPr>
      </w:pPr>
    </w:p>
    <w:p w14:paraId="50B6BF94" w14:textId="7287E51A" w:rsidR="00CF3F22" w:rsidRDefault="00CF3F22" w:rsidP="00CF3F22">
      <w:pPr>
        <w:ind w:left="0"/>
        <w:jc w:val="center"/>
        <w:rPr>
          <w:rFonts w:ascii="Arial" w:hAnsi="Arial" w:cs="Arial"/>
          <w:b/>
          <w:sz w:val="32"/>
          <w:szCs w:val="32"/>
        </w:rPr>
      </w:pPr>
      <w:r>
        <w:rPr>
          <w:rFonts w:ascii="Arial" w:hAnsi="Arial" w:cs="Arial"/>
          <w:b/>
          <w:sz w:val="32"/>
          <w:szCs w:val="32"/>
        </w:rPr>
        <w:t>Service Charge Policy</w:t>
      </w:r>
    </w:p>
    <w:p w14:paraId="52F0B7EF" w14:textId="77777777" w:rsidR="00A51F72" w:rsidRDefault="00A51F72" w:rsidP="00543236">
      <w:pPr>
        <w:ind w:left="0"/>
        <w:rPr>
          <w:rFonts w:ascii="Arial" w:hAnsi="Arial" w:cs="Arial"/>
          <w:b/>
        </w:rPr>
      </w:pPr>
    </w:p>
    <w:p w14:paraId="6FCDA2B1" w14:textId="6D98BB12" w:rsidR="00CF3F22" w:rsidRDefault="00CF3F22" w:rsidP="00E81F8B">
      <w:pPr>
        <w:ind w:left="0"/>
        <w:jc w:val="center"/>
        <w:rPr>
          <w:rFonts w:ascii="Arial" w:hAnsi="Arial" w:cs="Arial"/>
          <w:b/>
          <w:sz w:val="32"/>
          <w:szCs w:val="32"/>
        </w:rPr>
      </w:pPr>
    </w:p>
    <w:p w14:paraId="174D8A38" w14:textId="5B7E7113" w:rsidR="00CF3F22" w:rsidRDefault="00CF3F22" w:rsidP="00E81F8B">
      <w:pPr>
        <w:ind w:left="0"/>
        <w:jc w:val="center"/>
        <w:rPr>
          <w:rFonts w:ascii="Arial" w:hAnsi="Arial" w:cs="Arial"/>
          <w:b/>
          <w:sz w:val="32"/>
          <w:szCs w:val="32"/>
        </w:rPr>
      </w:pPr>
    </w:p>
    <w:p w14:paraId="1CC4D134" w14:textId="77777777" w:rsidR="00CF3F22" w:rsidRDefault="00CF3F22" w:rsidP="00E81F8B">
      <w:pPr>
        <w:ind w:left="0"/>
        <w:jc w:val="center"/>
        <w:rPr>
          <w:rFonts w:ascii="Arial" w:hAnsi="Arial" w:cs="Arial"/>
          <w:b/>
          <w:sz w:val="32"/>
          <w:szCs w:val="32"/>
        </w:rPr>
      </w:pPr>
    </w:p>
    <w:p w14:paraId="160867AF" w14:textId="77777777" w:rsidR="00CF3F22" w:rsidRDefault="00CF3F22" w:rsidP="00E81F8B">
      <w:pPr>
        <w:ind w:left="0"/>
        <w:jc w:val="center"/>
        <w:rPr>
          <w:rFonts w:ascii="Arial" w:hAnsi="Arial" w:cs="Arial"/>
          <w:b/>
          <w:sz w:val="32"/>
          <w:szCs w:val="32"/>
        </w:rPr>
      </w:pPr>
    </w:p>
    <w:p w14:paraId="68C1C86A" w14:textId="77777777" w:rsidR="00CF3F22" w:rsidRDefault="00CF3F22" w:rsidP="00CF3F22">
      <w:pPr>
        <w:ind w:left="0"/>
        <w:jc w:val="center"/>
        <w:rPr>
          <w:rFonts w:ascii="Arial" w:hAnsi="Arial" w:cs="Arial"/>
          <w:b/>
          <w:sz w:val="32"/>
          <w:szCs w:val="32"/>
        </w:rPr>
      </w:pPr>
      <w:r>
        <w:rPr>
          <w:rFonts w:ascii="Arial" w:hAnsi="Arial" w:cs="Arial"/>
          <w:b/>
          <w:sz w:val="32"/>
          <w:szCs w:val="32"/>
        </w:rPr>
        <w:lastRenderedPageBreak/>
        <w:t>Service Charge Policy</w:t>
      </w:r>
    </w:p>
    <w:p w14:paraId="4D7F45D5" w14:textId="26A6EA60" w:rsidR="00CF3F22" w:rsidRDefault="00CF3F22" w:rsidP="00E81F8B">
      <w:pPr>
        <w:ind w:left="0"/>
        <w:jc w:val="center"/>
        <w:rPr>
          <w:rFonts w:ascii="Arial" w:hAnsi="Arial" w:cs="Arial"/>
          <w:b/>
          <w:sz w:val="32"/>
          <w:szCs w:val="32"/>
        </w:rPr>
      </w:pPr>
    </w:p>
    <w:p w14:paraId="02756B0E" w14:textId="77777777" w:rsidR="00CF3F22" w:rsidRDefault="00CF3F22" w:rsidP="00CF3F22">
      <w:pPr>
        <w:ind w:left="0"/>
        <w:jc w:val="left"/>
        <w:rPr>
          <w:rFonts w:ascii="Arial" w:hAnsi="Arial" w:cs="Arial"/>
          <w:b/>
          <w:sz w:val="32"/>
          <w:szCs w:val="32"/>
        </w:rPr>
      </w:pPr>
      <w:r w:rsidRPr="00E81F8B">
        <w:rPr>
          <w:rFonts w:ascii="Arial" w:hAnsi="Arial" w:cs="Arial"/>
          <w:b/>
          <w:sz w:val="32"/>
          <w:szCs w:val="32"/>
        </w:rPr>
        <w:t>Contents</w:t>
      </w:r>
    </w:p>
    <w:p w14:paraId="6C7A3139" w14:textId="77777777" w:rsidR="00CF3F22" w:rsidRDefault="00CF3F22" w:rsidP="00E81F8B">
      <w:pPr>
        <w:ind w:left="0"/>
        <w:jc w:val="center"/>
        <w:rPr>
          <w:rFonts w:ascii="Arial" w:hAnsi="Arial" w:cs="Arial"/>
          <w:b/>
          <w:sz w:val="32"/>
          <w:szCs w:val="32"/>
        </w:rPr>
      </w:pPr>
    </w:p>
    <w:p w14:paraId="551B86A8" w14:textId="77777777" w:rsidR="00E81F8B" w:rsidRDefault="00E81F8B" w:rsidP="00E81F8B">
      <w:pPr>
        <w:pStyle w:val="ListParagraph"/>
        <w:numPr>
          <w:ilvl w:val="0"/>
          <w:numId w:val="32"/>
        </w:numPr>
        <w:jc w:val="left"/>
        <w:rPr>
          <w:rFonts w:ascii="Arial" w:hAnsi="Arial" w:cs="Arial"/>
        </w:rPr>
      </w:pPr>
      <w:r w:rsidRPr="00E81F8B">
        <w:rPr>
          <w:rFonts w:ascii="Arial" w:hAnsi="Arial" w:cs="Arial"/>
        </w:rPr>
        <w:t>Introduction</w:t>
      </w:r>
    </w:p>
    <w:p w14:paraId="1C09C2BC" w14:textId="77777777" w:rsidR="00E81F8B" w:rsidRDefault="00E81F8B" w:rsidP="00E81F8B">
      <w:pPr>
        <w:pStyle w:val="ListParagraph"/>
        <w:jc w:val="left"/>
        <w:rPr>
          <w:rFonts w:ascii="Arial" w:hAnsi="Arial" w:cs="Arial"/>
        </w:rPr>
      </w:pPr>
    </w:p>
    <w:p w14:paraId="3D8068C2" w14:textId="77777777" w:rsidR="00E81F8B" w:rsidRDefault="00E81F8B" w:rsidP="00E81F8B">
      <w:pPr>
        <w:pStyle w:val="ListParagraph"/>
        <w:numPr>
          <w:ilvl w:val="0"/>
          <w:numId w:val="32"/>
        </w:numPr>
        <w:jc w:val="left"/>
        <w:rPr>
          <w:rFonts w:ascii="Arial" w:hAnsi="Arial" w:cs="Arial"/>
        </w:rPr>
      </w:pPr>
      <w:r>
        <w:rPr>
          <w:rFonts w:ascii="Arial" w:hAnsi="Arial" w:cs="Arial"/>
        </w:rPr>
        <w:t>Aims and Principles of the Policy</w:t>
      </w:r>
    </w:p>
    <w:p w14:paraId="023FB8BE" w14:textId="77777777" w:rsidR="00E81F8B" w:rsidRPr="00E81F8B" w:rsidRDefault="00E81F8B" w:rsidP="00E81F8B">
      <w:pPr>
        <w:pStyle w:val="ListParagraph"/>
        <w:jc w:val="left"/>
        <w:rPr>
          <w:rFonts w:ascii="Arial" w:hAnsi="Arial" w:cs="Arial"/>
        </w:rPr>
      </w:pPr>
    </w:p>
    <w:p w14:paraId="619EF177" w14:textId="77777777" w:rsidR="00E81F8B" w:rsidRDefault="00E81F8B" w:rsidP="00E81F8B">
      <w:pPr>
        <w:pStyle w:val="ListParagraph"/>
        <w:numPr>
          <w:ilvl w:val="0"/>
          <w:numId w:val="32"/>
        </w:numPr>
        <w:jc w:val="left"/>
        <w:rPr>
          <w:rFonts w:ascii="Arial" w:hAnsi="Arial" w:cs="Arial"/>
        </w:rPr>
      </w:pPr>
      <w:r>
        <w:rPr>
          <w:rFonts w:ascii="Arial" w:hAnsi="Arial" w:cs="Arial"/>
        </w:rPr>
        <w:t>Scope</w:t>
      </w:r>
    </w:p>
    <w:p w14:paraId="29A25506" w14:textId="77777777" w:rsidR="00E81F8B" w:rsidRPr="00E81F8B" w:rsidRDefault="00E81F8B" w:rsidP="00E81F8B">
      <w:pPr>
        <w:pStyle w:val="ListParagraph"/>
        <w:rPr>
          <w:rFonts w:ascii="Arial" w:hAnsi="Arial" w:cs="Arial"/>
        </w:rPr>
      </w:pPr>
    </w:p>
    <w:p w14:paraId="53A49C26" w14:textId="77777777" w:rsidR="00E81F8B" w:rsidRDefault="00E81F8B" w:rsidP="00E81F8B">
      <w:pPr>
        <w:pStyle w:val="ListParagraph"/>
        <w:numPr>
          <w:ilvl w:val="0"/>
          <w:numId w:val="32"/>
        </w:numPr>
        <w:jc w:val="left"/>
        <w:rPr>
          <w:rFonts w:ascii="Arial" w:hAnsi="Arial" w:cs="Arial"/>
        </w:rPr>
      </w:pPr>
      <w:r>
        <w:rPr>
          <w:rFonts w:ascii="Arial" w:hAnsi="Arial" w:cs="Arial"/>
        </w:rPr>
        <w:t>Compliance – Statutory and Legal framework</w:t>
      </w:r>
    </w:p>
    <w:p w14:paraId="6D0736E4" w14:textId="77777777" w:rsidR="00E81F8B" w:rsidRPr="00E81F8B" w:rsidRDefault="00E81F8B" w:rsidP="00E81F8B">
      <w:pPr>
        <w:pStyle w:val="ListParagraph"/>
        <w:rPr>
          <w:rFonts w:ascii="Arial" w:hAnsi="Arial" w:cs="Arial"/>
        </w:rPr>
      </w:pPr>
    </w:p>
    <w:p w14:paraId="48D1C7E8" w14:textId="77777777" w:rsidR="00E81F8B" w:rsidRDefault="00643379" w:rsidP="00E81F8B">
      <w:pPr>
        <w:pStyle w:val="ListParagraph"/>
        <w:numPr>
          <w:ilvl w:val="0"/>
          <w:numId w:val="32"/>
        </w:numPr>
        <w:jc w:val="left"/>
        <w:rPr>
          <w:rFonts w:ascii="Arial" w:hAnsi="Arial" w:cs="Arial"/>
        </w:rPr>
      </w:pPr>
      <w:r>
        <w:rPr>
          <w:rFonts w:ascii="Arial" w:hAnsi="Arial" w:cs="Arial"/>
        </w:rPr>
        <w:t>Policy and Methodology</w:t>
      </w:r>
    </w:p>
    <w:p w14:paraId="32EEEB85" w14:textId="77777777" w:rsidR="00643379" w:rsidRPr="00643379" w:rsidRDefault="00643379" w:rsidP="00643379">
      <w:pPr>
        <w:pStyle w:val="ListParagraph"/>
        <w:rPr>
          <w:rFonts w:ascii="Arial" w:hAnsi="Arial" w:cs="Arial"/>
        </w:rPr>
      </w:pPr>
    </w:p>
    <w:p w14:paraId="12CE17CC" w14:textId="77777777" w:rsidR="00643379" w:rsidRDefault="000241DF" w:rsidP="00E81F8B">
      <w:pPr>
        <w:pStyle w:val="ListParagraph"/>
        <w:numPr>
          <w:ilvl w:val="0"/>
          <w:numId w:val="32"/>
        </w:numPr>
        <w:jc w:val="left"/>
        <w:rPr>
          <w:rFonts w:ascii="Arial" w:hAnsi="Arial" w:cs="Arial"/>
        </w:rPr>
      </w:pPr>
      <w:r>
        <w:rPr>
          <w:rFonts w:ascii="Arial" w:hAnsi="Arial" w:cs="Arial"/>
        </w:rPr>
        <w:t>Consultation and Engagement</w:t>
      </w:r>
    </w:p>
    <w:p w14:paraId="0773B5B8" w14:textId="77777777" w:rsidR="00682E9D" w:rsidRPr="00682E9D" w:rsidRDefault="00682E9D" w:rsidP="00682E9D">
      <w:pPr>
        <w:pStyle w:val="ListParagraph"/>
        <w:rPr>
          <w:rFonts w:ascii="Arial" w:hAnsi="Arial" w:cs="Arial"/>
        </w:rPr>
      </w:pPr>
    </w:p>
    <w:p w14:paraId="7D0F07B1" w14:textId="77777777" w:rsidR="00682E9D" w:rsidRDefault="00682E9D" w:rsidP="00E81F8B">
      <w:pPr>
        <w:pStyle w:val="ListParagraph"/>
        <w:numPr>
          <w:ilvl w:val="0"/>
          <w:numId w:val="32"/>
        </w:numPr>
        <w:jc w:val="left"/>
        <w:rPr>
          <w:rFonts w:ascii="Arial" w:hAnsi="Arial" w:cs="Arial"/>
        </w:rPr>
      </w:pPr>
      <w:r>
        <w:rPr>
          <w:rFonts w:ascii="Arial" w:hAnsi="Arial" w:cs="Arial"/>
        </w:rPr>
        <w:t>Roles and Responsibilities</w:t>
      </w:r>
    </w:p>
    <w:p w14:paraId="44A705D0" w14:textId="77777777" w:rsidR="00A51F72" w:rsidRPr="00A51F72" w:rsidRDefault="00A51F72" w:rsidP="00A51F72">
      <w:pPr>
        <w:pStyle w:val="ListParagraph"/>
        <w:rPr>
          <w:rFonts w:ascii="Arial" w:hAnsi="Arial" w:cs="Arial"/>
        </w:rPr>
      </w:pPr>
    </w:p>
    <w:p w14:paraId="5696E7C9" w14:textId="77777777" w:rsidR="00A51F72" w:rsidRDefault="00A51F72" w:rsidP="00E81F8B">
      <w:pPr>
        <w:pStyle w:val="ListParagraph"/>
        <w:numPr>
          <w:ilvl w:val="0"/>
          <w:numId w:val="32"/>
        </w:numPr>
        <w:jc w:val="left"/>
        <w:rPr>
          <w:rFonts w:ascii="Arial" w:hAnsi="Arial" w:cs="Arial"/>
        </w:rPr>
      </w:pPr>
      <w:r>
        <w:rPr>
          <w:rFonts w:ascii="Arial" w:hAnsi="Arial" w:cs="Arial"/>
        </w:rPr>
        <w:t>Value for money</w:t>
      </w:r>
    </w:p>
    <w:p w14:paraId="7646E115" w14:textId="77777777" w:rsidR="00A51F72" w:rsidRPr="00A51F72" w:rsidRDefault="00A51F72" w:rsidP="00A51F72">
      <w:pPr>
        <w:pStyle w:val="ListParagraph"/>
        <w:rPr>
          <w:rFonts w:ascii="Arial" w:hAnsi="Arial" w:cs="Arial"/>
        </w:rPr>
      </w:pPr>
    </w:p>
    <w:p w14:paraId="1835E562" w14:textId="77777777" w:rsidR="00A51F72" w:rsidRDefault="00A51F72" w:rsidP="00E81F8B">
      <w:pPr>
        <w:pStyle w:val="ListParagraph"/>
        <w:numPr>
          <w:ilvl w:val="0"/>
          <w:numId w:val="32"/>
        </w:numPr>
        <w:jc w:val="left"/>
        <w:rPr>
          <w:rFonts w:ascii="Arial" w:hAnsi="Arial" w:cs="Arial"/>
        </w:rPr>
      </w:pPr>
      <w:r>
        <w:rPr>
          <w:rFonts w:ascii="Arial" w:hAnsi="Arial" w:cs="Arial"/>
        </w:rPr>
        <w:t>Monitoring Policy Effectiveness</w:t>
      </w:r>
    </w:p>
    <w:p w14:paraId="66AD92BA" w14:textId="77777777" w:rsidR="00A51F72" w:rsidRPr="00A51F72" w:rsidRDefault="00A51F72" w:rsidP="00A51F72">
      <w:pPr>
        <w:pStyle w:val="ListParagraph"/>
        <w:rPr>
          <w:rFonts w:ascii="Arial" w:hAnsi="Arial" w:cs="Arial"/>
        </w:rPr>
      </w:pPr>
    </w:p>
    <w:p w14:paraId="2BE2D744" w14:textId="77777777" w:rsidR="00A51F72" w:rsidRDefault="00CC67AA" w:rsidP="00E81F8B">
      <w:pPr>
        <w:pStyle w:val="ListParagraph"/>
        <w:numPr>
          <w:ilvl w:val="0"/>
          <w:numId w:val="32"/>
        </w:numPr>
        <w:jc w:val="left"/>
        <w:rPr>
          <w:rFonts w:ascii="Arial" w:hAnsi="Arial" w:cs="Arial"/>
        </w:rPr>
      </w:pPr>
      <w:r>
        <w:rPr>
          <w:rFonts w:ascii="Arial" w:hAnsi="Arial" w:cs="Arial"/>
        </w:rPr>
        <w:t>Equality and Diversity</w:t>
      </w:r>
    </w:p>
    <w:p w14:paraId="3869228C" w14:textId="77777777" w:rsidR="00CC67AA" w:rsidRPr="00CC67AA" w:rsidRDefault="00CC67AA" w:rsidP="00CC67AA">
      <w:pPr>
        <w:pStyle w:val="ListParagraph"/>
        <w:rPr>
          <w:rFonts w:ascii="Arial" w:hAnsi="Arial" w:cs="Arial"/>
        </w:rPr>
      </w:pPr>
    </w:p>
    <w:p w14:paraId="3FCF1A62" w14:textId="77777777" w:rsidR="00E81F8B" w:rsidRDefault="00E81F8B" w:rsidP="00E81F8B">
      <w:pPr>
        <w:ind w:left="0"/>
        <w:jc w:val="left"/>
        <w:rPr>
          <w:rFonts w:ascii="Arial" w:hAnsi="Arial" w:cs="Arial"/>
          <w:b/>
        </w:rPr>
      </w:pPr>
    </w:p>
    <w:p w14:paraId="07340735" w14:textId="77777777" w:rsidR="00E81F8B" w:rsidRDefault="00E81F8B" w:rsidP="00E81F8B">
      <w:pPr>
        <w:ind w:left="0"/>
        <w:jc w:val="left"/>
        <w:rPr>
          <w:rFonts w:ascii="Arial" w:hAnsi="Arial" w:cs="Arial"/>
          <w:b/>
        </w:rPr>
      </w:pPr>
    </w:p>
    <w:p w14:paraId="72053B6A" w14:textId="77777777" w:rsidR="00E81F8B" w:rsidRDefault="00E81F8B" w:rsidP="00E81F8B">
      <w:pPr>
        <w:ind w:left="0"/>
        <w:jc w:val="left"/>
        <w:rPr>
          <w:rFonts w:ascii="Arial" w:hAnsi="Arial" w:cs="Arial"/>
          <w:b/>
        </w:rPr>
      </w:pPr>
    </w:p>
    <w:p w14:paraId="4DC5566E" w14:textId="77777777" w:rsidR="00E81F8B" w:rsidRDefault="00E81F8B" w:rsidP="00E81F8B">
      <w:pPr>
        <w:ind w:left="0"/>
        <w:jc w:val="left"/>
        <w:rPr>
          <w:rFonts w:ascii="Arial" w:hAnsi="Arial" w:cs="Arial"/>
          <w:b/>
        </w:rPr>
      </w:pPr>
    </w:p>
    <w:p w14:paraId="26919CCB" w14:textId="0B86CD06" w:rsidR="00E81F8B" w:rsidRDefault="00E81F8B" w:rsidP="00E81F8B">
      <w:pPr>
        <w:ind w:left="0"/>
        <w:jc w:val="left"/>
        <w:rPr>
          <w:rFonts w:ascii="Arial" w:hAnsi="Arial" w:cs="Arial"/>
          <w:b/>
        </w:rPr>
      </w:pPr>
    </w:p>
    <w:p w14:paraId="4D741B92" w14:textId="7A52994F" w:rsidR="00CF3F22" w:rsidRDefault="00CF3F22" w:rsidP="00E81F8B">
      <w:pPr>
        <w:ind w:left="0"/>
        <w:jc w:val="left"/>
        <w:rPr>
          <w:rFonts w:ascii="Arial" w:hAnsi="Arial" w:cs="Arial"/>
          <w:b/>
        </w:rPr>
      </w:pPr>
    </w:p>
    <w:p w14:paraId="4DD073C5" w14:textId="50F62103" w:rsidR="00CF3F22" w:rsidRDefault="00CF3F22" w:rsidP="00E81F8B">
      <w:pPr>
        <w:ind w:left="0"/>
        <w:jc w:val="left"/>
        <w:rPr>
          <w:rFonts w:ascii="Arial" w:hAnsi="Arial" w:cs="Arial"/>
          <w:b/>
        </w:rPr>
      </w:pPr>
    </w:p>
    <w:p w14:paraId="0D5D3EC5" w14:textId="4D3DB467" w:rsidR="00CF3F22" w:rsidRDefault="00CF3F22" w:rsidP="00E81F8B">
      <w:pPr>
        <w:ind w:left="0"/>
        <w:jc w:val="left"/>
        <w:rPr>
          <w:rFonts w:ascii="Arial" w:hAnsi="Arial" w:cs="Arial"/>
          <w:b/>
        </w:rPr>
      </w:pPr>
    </w:p>
    <w:p w14:paraId="533EAD08" w14:textId="2680EF0A" w:rsidR="00CF3F22" w:rsidRDefault="00CF3F22" w:rsidP="00E81F8B">
      <w:pPr>
        <w:ind w:left="0"/>
        <w:jc w:val="left"/>
        <w:rPr>
          <w:rFonts w:ascii="Arial" w:hAnsi="Arial" w:cs="Arial"/>
          <w:b/>
        </w:rPr>
      </w:pPr>
    </w:p>
    <w:p w14:paraId="3B5F1206" w14:textId="77777777" w:rsidR="00CF3F22" w:rsidRDefault="00CF3F22" w:rsidP="00E81F8B">
      <w:pPr>
        <w:ind w:left="0"/>
        <w:jc w:val="left"/>
        <w:rPr>
          <w:rFonts w:ascii="Arial" w:hAnsi="Arial" w:cs="Arial"/>
          <w:b/>
        </w:rPr>
      </w:pPr>
    </w:p>
    <w:p w14:paraId="3B38E1A0" w14:textId="19E040CF" w:rsidR="00E81F8B" w:rsidRDefault="00E81F8B" w:rsidP="00E81F8B">
      <w:pPr>
        <w:ind w:left="0"/>
        <w:jc w:val="left"/>
        <w:rPr>
          <w:rFonts w:ascii="Arial" w:hAnsi="Arial" w:cs="Arial"/>
          <w:b/>
        </w:rPr>
      </w:pPr>
    </w:p>
    <w:p w14:paraId="4B22F694" w14:textId="77777777" w:rsidR="009C2838" w:rsidRDefault="009C2838" w:rsidP="00E81F8B">
      <w:pPr>
        <w:ind w:left="0"/>
        <w:jc w:val="left"/>
        <w:rPr>
          <w:rFonts w:ascii="Arial" w:hAnsi="Arial" w:cs="Arial"/>
          <w:b/>
        </w:rPr>
      </w:pPr>
    </w:p>
    <w:p w14:paraId="103494B7" w14:textId="77777777" w:rsidR="00E81F8B" w:rsidRDefault="00E81F8B" w:rsidP="00543236">
      <w:pPr>
        <w:ind w:left="0"/>
        <w:rPr>
          <w:rFonts w:ascii="Arial" w:hAnsi="Arial" w:cs="Arial"/>
          <w:b/>
        </w:rPr>
      </w:pPr>
    </w:p>
    <w:p w14:paraId="4C39DEF0" w14:textId="77777777" w:rsidR="00E81F8B" w:rsidRDefault="00E81F8B" w:rsidP="00543236">
      <w:pPr>
        <w:ind w:left="0"/>
        <w:rPr>
          <w:rFonts w:ascii="Arial" w:hAnsi="Arial" w:cs="Arial"/>
          <w:b/>
        </w:rPr>
      </w:pPr>
    </w:p>
    <w:p w14:paraId="7BE2DA5B" w14:textId="77777777" w:rsidR="00F734B6" w:rsidRDefault="00543236" w:rsidP="00543236">
      <w:pPr>
        <w:ind w:left="0"/>
        <w:rPr>
          <w:rFonts w:ascii="Arial" w:hAnsi="Arial" w:cs="Arial"/>
          <w:b/>
        </w:rPr>
      </w:pPr>
      <w:r>
        <w:rPr>
          <w:rFonts w:ascii="Arial" w:hAnsi="Arial" w:cs="Arial"/>
          <w:b/>
        </w:rPr>
        <w:lastRenderedPageBreak/>
        <w:t>1.0 Introduction</w:t>
      </w:r>
    </w:p>
    <w:p w14:paraId="48DFCE11" w14:textId="77777777" w:rsidR="00C04A9D" w:rsidRDefault="00543236" w:rsidP="00543236">
      <w:pPr>
        <w:ind w:left="0"/>
        <w:rPr>
          <w:rFonts w:ascii="Arial" w:hAnsi="Arial" w:cs="Arial"/>
          <w:b/>
        </w:rPr>
      </w:pPr>
      <w:r>
        <w:rPr>
          <w:rFonts w:ascii="Arial" w:hAnsi="Arial" w:cs="Arial"/>
          <w:b/>
        </w:rPr>
        <w:t>1.1 Overview</w:t>
      </w:r>
    </w:p>
    <w:p w14:paraId="4CF14980" w14:textId="2321D30C" w:rsidR="00EA666A" w:rsidRPr="005C2308" w:rsidRDefault="000941E4" w:rsidP="005C2308">
      <w:pPr>
        <w:ind w:left="0"/>
        <w:rPr>
          <w:rFonts w:ascii="Arial" w:eastAsia="Arial" w:hAnsi="Arial" w:cs="Arial"/>
          <w:color w:val="000000" w:themeColor="text1"/>
          <w:lang w:eastAsia="en-GB"/>
        </w:rPr>
      </w:pPr>
      <w:r w:rsidRPr="005C2308">
        <w:rPr>
          <w:rFonts w:ascii="Arial" w:hAnsi="Arial" w:cs="Arial"/>
          <w:color w:val="000000" w:themeColor="text1"/>
        </w:rPr>
        <w:t xml:space="preserve">A Service Charge is a </w:t>
      </w:r>
      <w:r w:rsidR="007E7436">
        <w:rPr>
          <w:rFonts w:ascii="Arial" w:hAnsi="Arial" w:cs="Arial"/>
          <w:color w:val="000000" w:themeColor="text1"/>
        </w:rPr>
        <w:t>charge</w:t>
      </w:r>
      <w:r w:rsidR="007A35B4">
        <w:rPr>
          <w:rFonts w:ascii="Arial" w:hAnsi="Arial" w:cs="Arial"/>
          <w:color w:val="000000" w:themeColor="text1"/>
        </w:rPr>
        <w:t xml:space="preserve"> </w:t>
      </w:r>
      <w:r w:rsidR="007E7436">
        <w:rPr>
          <w:rFonts w:ascii="Arial" w:hAnsi="Arial" w:cs="Arial"/>
          <w:color w:val="000000" w:themeColor="text1"/>
        </w:rPr>
        <w:t>made by the Group to</w:t>
      </w:r>
      <w:r w:rsidRPr="005C2308">
        <w:rPr>
          <w:rFonts w:ascii="Arial" w:hAnsi="Arial" w:cs="Arial"/>
          <w:color w:val="000000" w:themeColor="text1"/>
        </w:rPr>
        <w:t xml:space="preserve"> a resident, whose home is </w:t>
      </w:r>
      <w:r w:rsidR="007441FF">
        <w:rPr>
          <w:rFonts w:ascii="Arial" w:hAnsi="Arial" w:cs="Arial"/>
          <w:color w:val="000000" w:themeColor="text1"/>
        </w:rPr>
        <w:t>a WCHG</w:t>
      </w:r>
      <w:r w:rsidRPr="005C2308">
        <w:rPr>
          <w:rFonts w:ascii="Arial" w:hAnsi="Arial" w:cs="Arial"/>
          <w:color w:val="000000" w:themeColor="text1"/>
        </w:rPr>
        <w:t xml:space="preserve"> propert</w:t>
      </w:r>
      <w:r w:rsidR="007441FF">
        <w:rPr>
          <w:rFonts w:ascii="Arial" w:hAnsi="Arial" w:cs="Arial"/>
          <w:color w:val="000000" w:themeColor="text1"/>
        </w:rPr>
        <w:t>y</w:t>
      </w:r>
      <w:r w:rsidR="007E7436">
        <w:rPr>
          <w:rFonts w:ascii="Arial" w:hAnsi="Arial" w:cs="Arial"/>
          <w:color w:val="000000" w:themeColor="text1"/>
        </w:rPr>
        <w:t xml:space="preserve"> and whom receives certain services not included as part of their rent charge</w:t>
      </w:r>
      <w:r w:rsidR="004152CD">
        <w:rPr>
          <w:rFonts w:ascii="Arial" w:hAnsi="Arial" w:cs="Arial"/>
          <w:color w:val="000000" w:themeColor="text1"/>
        </w:rPr>
        <w:t xml:space="preserve"> or</w:t>
      </w:r>
      <w:r w:rsidRPr="005C2308">
        <w:rPr>
          <w:rFonts w:ascii="Arial" w:hAnsi="Arial" w:cs="Arial"/>
          <w:color w:val="000000" w:themeColor="text1"/>
        </w:rPr>
        <w:t xml:space="preserve"> where</w:t>
      </w:r>
      <w:r w:rsidR="007E7436">
        <w:rPr>
          <w:rFonts w:ascii="Arial" w:hAnsi="Arial" w:cs="Arial"/>
          <w:color w:val="000000" w:themeColor="text1"/>
        </w:rPr>
        <w:t xml:space="preserve"> the resident receives </w:t>
      </w:r>
      <w:r w:rsidRPr="005C2308">
        <w:rPr>
          <w:rFonts w:ascii="Arial" w:hAnsi="Arial" w:cs="Arial"/>
          <w:color w:val="000000" w:themeColor="text1"/>
        </w:rPr>
        <w:t xml:space="preserve">services </w:t>
      </w:r>
      <w:r w:rsidR="007E7436">
        <w:rPr>
          <w:rFonts w:ascii="Arial" w:hAnsi="Arial" w:cs="Arial"/>
          <w:color w:val="000000" w:themeColor="text1"/>
        </w:rPr>
        <w:t xml:space="preserve">which </w:t>
      </w:r>
      <w:r w:rsidRPr="005C2308">
        <w:rPr>
          <w:rFonts w:ascii="Arial" w:hAnsi="Arial" w:cs="Arial"/>
          <w:color w:val="000000" w:themeColor="text1"/>
        </w:rPr>
        <w:t xml:space="preserve">are provided in connection with the occupation of their home.  These services </w:t>
      </w:r>
      <w:r w:rsidR="00B656F1">
        <w:rPr>
          <w:rFonts w:ascii="Arial" w:hAnsi="Arial" w:cs="Arial"/>
          <w:color w:val="000000" w:themeColor="text1"/>
        </w:rPr>
        <w:t xml:space="preserve">could include: </w:t>
      </w:r>
      <w:r w:rsidRPr="005C2308">
        <w:rPr>
          <w:rFonts w:ascii="Arial" w:hAnsi="Arial" w:cs="Arial"/>
          <w:color w:val="000000" w:themeColor="text1"/>
        </w:rPr>
        <w:t xml:space="preserve"> </w:t>
      </w:r>
      <w:r w:rsidR="007441FF">
        <w:rPr>
          <w:rFonts w:ascii="Arial" w:hAnsi="Arial" w:cs="Arial"/>
          <w:color w:val="000000" w:themeColor="text1"/>
        </w:rPr>
        <w:t xml:space="preserve">the </w:t>
      </w:r>
      <w:r w:rsidRPr="005C2308">
        <w:rPr>
          <w:rFonts w:ascii="Arial" w:hAnsi="Arial" w:cs="Arial"/>
          <w:color w:val="000000" w:themeColor="text1"/>
        </w:rPr>
        <w:t>cleaning of communal use areas such as hallways</w:t>
      </w:r>
      <w:r w:rsidR="00C14595" w:rsidRPr="005C2308">
        <w:rPr>
          <w:rFonts w:ascii="Arial" w:hAnsi="Arial" w:cs="Arial"/>
          <w:color w:val="000000" w:themeColor="text1"/>
        </w:rPr>
        <w:t>, grounds maintenance,</w:t>
      </w:r>
      <w:r w:rsidR="00284B55" w:rsidRPr="005C2308">
        <w:rPr>
          <w:rFonts w:ascii="Arial" w:hAnsi="Arial" w:cs="Arial"/>
          <w:color w:val="000000" w:themeColor="text1"/>
        </w:rPr>
        <w:t xml:space="preserve"> lifts, door entry systems,</w:t>
      </w:r>
      <w:r w:rsidR="007E7436">
        <w:rPr>
          <w:rFonts w:ascii="Arial" w:hAnsi="Arial" w:cs="Arial"/>
          <w:color w:val="000000" w:themeColor="text1"/>
        </w:rPr>
        <w:t xml:space="preserve"> CCTV camera systems,</w:t>
      </w:r>
      <w:r w:rsidR="00284B55" w:rsidRPr="005C2308">
        <w:rPr>
          <w:rFonts w:ascii="Arial" w:hAnsi="Arial" w:cs="Arial"/>
          <w:color w:val="000000" w:themeColor="text1"/>
        </w:rPr>
        <w:t xml:space="preserve"> electric gate access etc.</w:t>
      </w:r>
      <w:r w:rsidR="005C2308">
        <w:rPr>
          <w:rFonts w:ascii="Arial" w:hAnsi="Arial" w:cs="Arial"/>
          <w:color w:val="000000" w:themeColor="text1"/>
        </w:rPr>
        <w:t xml:space="preserve"> </w:t>
      </w:r>
      <w:r w:rsidR="005C2308">
        <w:rPr>
          <w:rFonts w:ascii="Arial" w:eastAsia="Arial" w:hAnsi="Arial" w:cs="Arial"/>
          <w:color w:val="000000" w:themeColor="text1"/>
          <w:lang w:eastAsia="en-GB"/>
        </w:rPr>
        <w:t>M</w:t>
      </w:r>
      <w:r w:rsidR="00EA666A" w:rsidRPr="005C2308">
        <w:rPr>
          <w:rFonts w:ascii="Arial" w:eastAsia="Arial" w:hAnsi="Arial" w:cs="Arial"/>
          <w:color w:val="000000" w:themeColor="text1"/>
          <w:lang w:eastAsia="en-GB"/>
        </w:rPr>
        <w:t>ost service charges are eligible for Housing Benefit and Universal Credit</w:t>
      </w:r>
      <w:r w:rsidR="00404384">
        <w:rPr>
          <w:rFonts w:ascii="Arial" w:eastAsia="Arial" w:hAnsi="Arial" w:cs="Arial"/>
          <w:color w:val="000000" w:themeColor="text1"/>
          <w:lang w:eastAsia="en-GB"/>
        </w:rPr>
        <w:t xml:space="preserve"> depending on the </w:t>
      </w:r>
      <w:proofErr w:type="gramStart"/>
      <w:r w:rsidR="00404384">
        <w:rPr>
          <w:rFonts w:ascii="Arial" w:eastAsia="Arial" w:hAnsi="Arial" w:cs="Arial"/>
          <w:color w:val="000000" w:themeColor="text1"/>
          <w:lang w:eastAsia="en-GB"/>
        </w:rPr>
        <w:t>residents</w:t>
      </w:r>
      <w:proofErr w:type="gramEnd"/>
      <w:r w:rsidR="00404384">
        <w:rPr>
          <w:rFonts w:ascii="Arial" w:eastAsia="Arial" w:hAnsi="Arial" w:cs="Arial"/>
          <w:color w:val="000000" w:themeColor="text1"/>
          <w:lang w:eastAsia="en-GB"/>
        </w:rPr>
        <w:t xml:space="preserve"> eligibility to benefit entitlement</w:t>
      </w:r>
      <w:r w:rsidR="00EA666A" w:rsidRPr="005C2308">
        <w:rPr>
          <w:rFonts w:ascii="Arial" w:eastAsia="Arial" w:hAnsi="Arial" w:cs="Arial"/>
          <w:color w:val="000000" w:themeColor="text1"/>
          <w:lang w:eastAsia="en-GB"/>
        </w:rPr>
        <w:t xml:space="preserve">. </w:t>
      </w:r>
    </w:p>
    <w:p w14:paraId="5F9D9FD8" w14:textId="63AA3093" w:rsidR="00EA666A" w:rsidRDefault="00EA666A" w:rsidP="00EA666A">
      <w:pPr>
        <w:spacing w:after="3" w:line="291" w:lineRule="auto"/>
        <w:ind w:left="-5" w:hanging="10"/>
        <w:jc w:val="left"/>
        <w:rPr>
          <w:rFonts w:ascii="Arial" w:eastAsia="Arial" w:hAnsi="Arial" w:cs="Arial"/>
          <w:color w:val="000000" w:themeColor="text1"/>
          <w:lang w:eastAsia="en-GB"/>
        </w:rPr>
      </w:pPr>
      <w:r w:rsidRPr="005C2308">
        <w:rPr>
          <w:rFonts w:ascii="Arial" w:eastAsia="Arial" w:hAnsi="Arial" w:cs="Arial"/>
          <w:color w:val="000000" w:themeColor="text1"/>
          <w:lang w:eastAsia="en-GB"/>
        </w:rPr>
        <w:t>Service charges reflect actual costs incurred</w:t>
      </w:r>
      <w:r w:rsidR="007441FF">
        <w:rPr>
          <w:rFonts w:ascii="Arial" w:eastAsia="Arial" w:hAnsi="Arial" w:cs="Arial"/>
          <w:color w:val="000000" w:themeColor="text1"/>
          <w:lang w:eastAsia="en-GB"/>
        </w:rPr>
        <w:t xml:space="preserve"> in providing the service</w:t>
      </w:r>
      <w:r w:rsidRPr="005C2308">
        <w:rPr>
          <w:rFonts w:ascii="Arial" w:eastAsia="Arial" w:hAnsi="Arial" w:cs="Arial"/>
          <w:color w:val="000000" w:themeColor="text1"/>
          <w:lang w:eastAsia="en-GB"/>
        </w:rPr>
        <w:t xml:space="preserve"> </w:t>
      </w:r>
      <w:r w:rsidR="00CA6EC5">
        <w:rPr>
          <w:rFonts w:ascii="Arial" w:eastAsia="Arial" w:hAnsi="Arial" w:cs="Arial"/>
          <w:color w:val="000000" w:themeColor="text1"/>
          <w:lang w:eastAsia="en-GB"/>
        </w:rPr>
        <w:t xml:space="preserve">to the resident(s) </w:t>
      </w:r>
      <w:r w:rsidRPr="005C2308">
        <w:rPr>
          <w:rFonts w:ascii="Arial" w:eastAsia="Arial" w:hAnsi="Arial" w:cs="Arial"/>
          <w:color w:val="000000" w:themeColor="text1"/>
          <w:lang w:eastAsia="en-GB"/>
        </w:rPr>
        <w:t>and no profit is made from service charge</w:t>
      </w:r>
      <w:r w:rsidR="00CA6EC5">
        <w:rPr>
          <w:rFonts w:ascii="Arial" w:eastAsia="Arial" w:hAnsi="Arial" w:cs="Arial"/>
          <w:color w:val="000000" w:themeColor="text1"/>
          <w:lang w:eastAsia="en-GB"/>
        </w:rPr>
        <w:t xml:space="preserve"> income</w:t>
      </w:r>
      <w:r w:rsidR="000445A2">
        <w:rPr>
          <w:rFonts w:ascii="Arial" w:eastAsia="Arial" w:hAnsi="Arial" w:cs="Arial"/>
          <w:color w:val="000000" w:themeColor="text1"/>
          <w:lang w:eastAsia="en-GB"/>
        </w:rPr>
        <w:t xml:space="preserve"> or charges levied</w:t>
      </w:r>
      <w:r w:rsidRPr="005C2308">
        <w:rPr>
          <w:rFonts w:ascii="Arial" w:eastAsia="Arial" w:hAnsi="Arial" w:cs="Arial"/>
          <w:color w:val="000000" w:themeColor="text1"/>
          <w:lang w:eastAsia="en-GB"/>
        </w:rPr>
        <w:t xml:space="preserve">.  </w:t>
      </w:r>
    </w:p>
    <w:p w14:paraId="3A32D438" w14:textId="4B044854" w:rsidR="0044156E" w:rsidRDefault="0044156E" w:rsidP="00EA666A">
      <w:pPr>
        <w:spacing w:after="3" w:line="291" w:lineRule="auto"/>
        <w:ind w:left="-5" w:hanging="10"/>
        <w:jc w:val="left"/>
        <w:rPr>
          <w:rFonts w:ascii="Arial" w:eastAsia="Arial" w:hAnsi="Arial" w:cs="Arial"/>
          <w:color w:val="000000" w:themeColor="text1"/>
          <w:lang w:eastAsia="en-GB"/>
        </w:rPr>
      </w:pPr>
    </w:p>
    <w:p w14:paraId="73F57348" w14:textId="3F741057" w:rsidR="0044156E" w:rsidRPr="00B63AC5" w:rsidRDefault="0044156E" w:rsidP="007A35B4">
      <w:pPr>
        <w:spacing w:after="0"/>
        <w:ind w:left="0"/>
        <w:jc w:val="left"/>
        <w:textAlignment w:val="baseline"/>
        <w:rPr>
          <w:rFonts w:ascii="Arial" w:eastAsia="Times New Roman" w:hAnsi="Arial" w:cs="Arial"/>
          <w:lang w:eastAsia="en-GB"/>
        </w:rPr>
      </w:pPr>
      <w:r>
        <w:rPr>
          <w:rFonts w:ascii="Arial" w:eastAsia="Arial" w:hAnsi="Arial" w:cs="Arial"/>
          <w:color w:val="000000" w:themeColor="text1"/>
          <w:lang w:eastAsia="en-GB"/>
        </w:rPr>
        <w:t xml:space="preserve">Service charges are heavily controlled and regulated by statutory legislation such as the Landlord &amp; Tenant act 1985, </w:t>
      </w:r>
      <w:r w:rsidRPr="00B63AC5">
        <w:rPr>
          <w:rFonts w:ascii="Arial" w:eastAsia="Times New Roman" w:hAnsi="Arial" w:cs="Arial"/>
          <w:lang w:eastAsia="en-GB"/>
        </w:rPr>
        <w:t>Landlord &amp; Tenants Act 1987, common &amp; Leaseholder Reform Act 2002 (which amended the 1985 Act) </w:t>
      </w:r>
      <w:r>
        <w:rPr>
          <w:rFonts w:ascii="Arial" w:eastAsia="Times New Roman" w:hAnsi="Arial" w:cs="Arial"/>
          <w:lang w:eastAsia="en-GB"/>
        </w:rPr>
        <w:t>– See section 4. Service charges are also part of the contractual relationship with tenants, shared owners and leaseholders were relevant and the Group will always ensure it complies with the terms of the tenancy or lease agreement</w:t>
      </w:r>
      <w:r w:rsidR="009E1967">
        <w:rPr>
          <w:rFonts w:ascii="Arial" w:eastAsia="Times New Roman" w:hAnsi="Arial" w:cs="Arial"/>
          <w:lang w:eastAsia="en-GB"/>
        </w:rPr>
        <w:t>.</w:t>
      </w:r>
    </w:p>
    <w:p w14:paraId="77627FDD" w14:textId="77777777" w:rsidR="00291358" w:rsidRDefault="00291358" w:rsidP="00FE11F9">
      <w:pPr>
        <w:spacing w:after="3" w:line="291" w:lineRule="auto"/>
        <w:ind w:left="-5" w:hanging="10"/>
        <w:jc w:val="left"/>
        <w:rPr>
          <w:rFonts w:ascii="Arial" w:eastAsia="Arial" w:hAnsi="Arial" w:cs="Arial"/>
          <w:color w:val="000000" w:themeColor="text1"/>
          <w:lang w:eastAsia="en-GB"/>
        </w:rPr>
      </w:pPr>
    </w:p>
    <w:p w14:paraId="18D04071" w14:textId="495CFB62" w:rsidR="00291358" w:rsidRDefault="00291358" w:rsidP="00291358">
      <w:pPr>
        <w:spacing w:after="3" w:line="291" w:lineRule="auto"/>
        <w:ind w:left="-5" w:hanging="10"/>
        <w:jc w:val="left"/>
        <w:rPr>
          <w:rFonts w:ascii="Arial" w:eastAsia="Arial" w:hAnsi="Arial" w:cs="Arial"/>
          <w:color w:val="000000" w:themeColor="text1"/>
          <w:lang w:eastAsia="en-GB"/>
        </w:rPr>
      </w:pPr>
      <w:r w:rsidRPr="005C2308">
        <w:rPr>
          <w:rFonts w:ascii="Arial" w:eastAsia="Arial" w:hAnsi="Arial" w:cs="Arial"/>
          <w:color w:val="000000" w:themeColor="text1"/>
          <w:lang w:eastAsia="en-GB"/>
        </w:rPr>
        <w:t>Service charges can be fixed or variable</w:t>
      </w:r>
      <w:r>
        <w:rPr>
          <w:rFonts w:ascii="Arial" w:eastAsia="Arial" w:hAnsi="Arial" w:cs="Arial"/>
          <w:color w:val="000000" w:themeColor="text1"/>
          <w:lang w:eastAsia="en-GB"/>
        </w:rPr>
        <w:t xml:space="preserve"> with WCHG using </w:t>
      </w:r>
      <w:r w:rsidR="006A5C36">
        <w:rPr>
          <w:rFonts w:ascii="Arial" w:eastAsia="Arial" w:hAnsi="Arial" w:cs="Arial"/>
          <w:color w:val="000000" w:themeColor="text1"/>
          <w:lang w:eastAsia="en-GB"/>
        </w:rPr>
        <w:t xml:space="preserve">primarily </w:t>
      </w:r>
      <w:r>
        <w:rPr>
          <w:rFonts w:ascii="Arial" w:eastAsia="Arial" w:hAnsi="Arial" w:cs="Arial"/>
          <w:color w:val="000000" w:themeColor="text1"/>
          <w:lang w:eastAsia="en-GB"/>
        </w:rPr>
        <w:t>variable service charges</w:t>
      </w:r>
      <w:r w:rsidRPr="005C2308">
        <w:rPr>
          <w:rFonts w:ascii="Arial" w:eastAsia="Arial" w:hAnsi="Arial" w:cs="Arial"/>
          <w:color w:val="000000" w:themeColor="text1"/>
          <w:lang w:eastAsia="en-GB"/>
        </w:rPr>
        <w:t xml:space="preserve"> </w:t>
      </w:r>
    </w:p>
    <w:p w14:paraId="5D99457E" w14:textId="77777777" w:rsidR="007A35B4" w:rsidRPr="006A1BDC" w:rsidRDefault="007A35B4" w:rsidP="007A35B4">
      <w:pPr>
        <w:pStyle w:val="ListParagraph"/>
        <w:numPr>
          <w:ilvl w:val="0"/>
          <w:numId w:val="8"/>
        </w:numPr>
        <w:spacing w:after="3" w:line="291" w:lineRule="auto"/>
        <w:jc w:val="left"/>
        <w:rPr>
          <w:rFonts w:ascii="Arial" w:eastAsia="Arial" w:hAnsi="Arial" w:cs="Arial"/>
          <w:color w:val="000000" w:themeColor="text1"/>
          <w:lang w:eastAsia="en-GB"/>
        </w:rPr>
      </w:pPr>
      <w:r w:rsidRPr="006A1BDC">
        <w:rPr>
          <w:rFonts w:ascii="Arial" w:eastAsia="Arial" w:hAnsi="Arial" w:cs="Arial"/>
          <w:color w:val="000000" w:themeColor="text1"/>
          <w:lang w:eastAsia="en-GB"/>
        </w:rPr>
        <w:t>For variable service charges, future charges</w:t>
      </w:r>
      <w:r>
        <w:rPr>
          <w:rFonts w:ascii="Arial" w:eastAsia="Arial" w:hAnsi="Arial" w:cs="Arial"/>
          <w:color w:val="000000" w:themeColor="text1"/>
          <w:lang w:eastAsia="en-GB"/>
        </w:rPr>
        <w:t xml:space="preserve"> for customers </w:t>
      </w:r>
      <w:r w:rsidRPr="006A1BDC">
        <w:rPr>
          <w:rFonts w:ascii="Arial" w:eastAsia="Arial" w:hAnsi="Arial" w:cs="Arial"/>
          <w:color w:val="000000" w:themeColor="text1"/>
          <w:lang w:eastAsia="en-GB"/>
        </w:rPr>
        <w:t xml:space="preserve"> are adjusted to reflect previous over or under recovery once all costs are known. In general, most </w:t>
      </w:r>
      <w:r>
        <w:rPr>
          <w:rFonts w:ascii="Arial" w:eastAsia="Arial" w:hAnsi="Arial" w:cs="Arial"/>
          <w:color w:val="000000" w:themeColor="text1"/>
          <w:lang w:eastAsia="en-GB"/>
        </w:rPr>
        <w:t>WCHG customers</w:t>
      </w:r>
      <w:r w:rsidRPr="006A1BDC">
        <w:rPr>
          <w:rFonts w:ascii="Arial" w:eastAsia="Arial" w:hAnsi="Arial" w:cs="Arial"/>
          <w:color w:val="000000" w:themeColor="text1"/>
          <w:lang w:eastAsia="en-GB"/>
        </w:rPr>
        <w:t xml:space="preserve"> have variable service charges.  </w:t>
      </w:r>
    </w:p>
    <w:p w14:paraId="0844EBF9" w14:textId="77777777" w:rsidR="00291358" w:rsidRDefault="00291358" w:rsidP="00291358">
      <w:pPr>
        <w:pStyle w:val="ListParagraph"/>
        <w:numPr>
          <w:ilvl w:val="0"/>
          <w:numId w:val="8"/>
        </w:numPr>
        <w:spacing w:after="3" w:line="291" w:lineRule="auto"/>
        <w:jc w:val="left"/>
        <w:rPr>
          <w:rFonts w:ascii="Arial" w:eastAsia="Arial" w:hAnsi="Arial" w:cs="Arial"/>
          <w:color w:val="000000" w:themeColor="text1"/>
          <w:lang w:eastAsia="en-GB"/>
        </w:rPr>
      </w:pPr>
      <w:r w:rsidRPr="006A1BDC">
        <w:rPr>
          <w:rFonts w:ascii="Arial" w:eastAsia="Arial" w:hAnsi="Arial" w:cs="Arial"/>
          <w:color w:val="000000" w:themeColor="text1"/>
          <w:lang w:eastAsia="en-GB"/>
        </w:rPr>
        <w:t xml:space="preserve">For fixed service charges, an estimate is issued at the beginning of the year, and any surpluses or deficits are absorbed by </w:t>
      </w:r>
      <w:r w:rsidR="007441FF">
        <w:rPr>
          <w:rFonts w:ascii="Arial" w:eastAsia="Arial" w:hAnsi="Arial" w:cs="Arial"/>
          <w:color w:val="000000" w:themeColor="text1"/>
          <w:lang w:eastAsia="en-GB"/>
        </w:rPr>
        <w:t>WCHG</w:t>
      </w:r>
      <w:r w:rsidRPr="006A1BDC">
        <w:rPr>
          <w:rFonts w:ascii="Arial" w:eastAsia="Arial" w:hAnsi="Arial" w:cs="Arial"/>
          <w:color w:val="000000" w:themeColor="text1"/>
          <w:lang w:eastAsia="en-GB"/>
        </w:rPr>
        <w:t xml:space="preserve"> and are not carried forward to the next year. </w:t>
      </w:r>
    </w:p>
    <w:p w14:paraId="1B893219" w14:textId="77777777" w:rsidR="00291358" w:rsidRDefault="00291358" w:rsidP="00291358">
      <w:pPr>
        <w:ind w:left="0"/>
        <w:rPr>
          <w:rFonts w:ascii="Arial" w:hAnsi="Arial" w:cs="Arial"/>
        </w:rPr>
      </w:pPr>
      <w:r>
        <w:rPr>
          <w:rFonts w:ascii="Arial" w:hAnsi="Arial" w:cs="Arial"/>
        </w:rPr>
        <w:t>The requirement for customers to pay service charges with be detailed in the tenancy or leasehold agreement and is further advised by legislation in force during the term of the agreement.</w:t>
      </w:r>
    </w:p>
    <w:p w14:paraId="795399C8" w14:textId="7AE556EE" w:rsidR="00291358" w:rsidRDefault="00291358" w:rsidP="00291358">
      <w:pPr>
        <w:ind w:left="0"/>
        <w:rPr>
          <w:rFonts w:ascii="Arial" w:hAnsi="Arial" w:cs="Arial"/>
        </w:rPr>
      </w:pPr>
      <w:r>
        <w:rPr>
          <w:rFonts w:ascii="Arial" w:hAnsi="Arial" w:cs="Arial"/>
        </w:rPr>
        <w:t xml:space="preserve">Services charges apply in different ways depending on the type of tenancy agreement </w:t>
      </w:r>
      <w:r w:rsidR="003B184D">
        <w:rPr>
          <w:rFonts w:ascii="Arial" w:hAnsi="Arial" w:cs="Arial"/>
        </w:rPr>
        <w:t xml:space="preserve">or lease </w:t>
      </w:r>
      <w:r>
        <w:rPr>
          <w:rFonts w:ascii="Arial" w:hAnsi="Arial" w:cs="Arial"/>
        </w:rPr>
        <w:t>the customer has with WCHG</w:t>
      </w:r>
      <w:r w:rsidR="00F83AA1">
        <w:rPr>
          <w:rFonts w:ascii="Arial" w:hAnsi="Arial" w:cs="Arial"/>
        </w:rPr>
        <w:t>.</w:t>
      </w:r>
    </w:p>
    <w:p w14:paraId="173F9069" w14:textId="77777777" w:rsidR="00643379" w:rsidRDefault="00643379" w:rsidP="00291358">
      <w:pPr>
        <w:ind w:left="0"/>
        <w:rPr>
          <w:rFonts w:ascii="Arial" w:hAnsi="Arial" w:cs="Arial"/>
          <w:b/>
        </w:rPr>
      </w:pPr>
    </w:p>
    <w:p w14:paraId="7C93BE45" w14:textId="77777777" w:rsidR="00F93AB2" w:rsidRPr="003E692D" w:rsidRDefault="00F93AB2" w:rsidP="00291358">
      <w:pPr>
        <w:ind w:left="0"/>
        <w:rPr>
          <w:rFonts w:ascii="Arial" w:hAnsi="Arial" w:cs="Arial"/>
          <w:b/>
        </w:rPr>
      </w:pPr>
      <w:r w:rsidRPr="003E692D">
        <w:rPr>
          <w:rFonts w:ascii="Arial" w:hAnsi="Arial" w:cs="Arial"/>
          <w:b/>
        </w:rPr>
        <w:t>1.2 Services not included in this policy</w:t>
      </w:r>
    </w:p>
    <w:p w14:paraId="4AF74AC3" w14:textId="18A1D9C9" w:rsidR="00F93AB2" w:rsidRDefault="00F93AB2" w:rsidP="00291358">
      <w:pPr>
        <w:ind w:left="0"/>
        <w:rPr>
          <w:rFonts w:ascii="Arial" w:hAnsi="Arial" w:cs="Arial"/>
        </w:rPr>
      </w:pPr>
      <w:r>
        <w:rPr>
          <w:rFonts w:ascii="Arial" w:hAnsi="Arial" w:cs="Arial"/>
        </w:rPr>
        <w:t xml:space="preserve">In some </w:t>
      </w:r>
      <w:r w:rsidR="00E764E2">
        <w:rPr>
          <w:rFonts w:ascii="Arial" w:hAnsi="Arial" w:cs="Arial"/>
        </w:rPr>
        <w:t>WCHG</w:t>
      </w:r>
      <w:r>
        <w:rPr>
          <w:rFonts w:ascii="Arial" w:hAnsi="Arial" w:cs="Arial"/>
        </w:rPr>
        <w:t xml:space="preserve"> buildings hot water for heating and domestic use is supplied by a communal boiler.  Where the charges for this supply are paid for via a payment meter</w:t>
      </w:r>
      <w:r w:rsidR="007441FF">
        <w:rPr>
          <w:rFonts w:ascii="Arial" w:hAnsi="Arial" w:cs="Arial"/>
        </w:rPr>
        <w:t xml:space="preserve"> located</w:t>
      </w:r>
      <w:r>
        <w:rPr>
          <w:rFonts w:ascii="Arial" w:hAnsi="Arial" w:cs="Arial"/>
        </w:rPr>
        <w:t xml:space="preserve"> in individual homes this supply is not included in the service charge or in the rent.  Supply via this method is covered by a separate set of legislation which </w:t>
      </w:r>
      <w:r w:rsidR="007441FF">
        <w:rPr>
          <w:rFonts w:ascii="Arial" w:hAnsi="Arial" w:cs="Arial"/>
        </w:rPr>
        <w:t xml:space="preserve">will </w:t>
      </w:r>
      <w:r>
        <w:rPr>
          <w:rFonts w:ascii="Arial" w:hAnsi="Arial" w:cs="Arial"/>
        </w:rPr>
        <w:t>make WCHG the supplier and therefore subject to OFGEM regulations and a Heat Supply Agreement with individual customers. OFGEM regulations are expected to come into force in 2025</w:t>
      </w:r>
      <w:r w:rsidR="007A35B4">
        <w:rPr>
          <w:rFonts w:ascii="Arial" w:hAnsi="Arial" w:cs="Arial"/>
        </w:rPr>
        <w:t>.</w:t>
      </w:r>
      <w:r w:rsidR="008D5981">
        <w:rPr>
          <w:rFonts w:ascii="Arial" w:hAnsi="Arial" w:cs="Arial"/>
        </w:rPr>
        <w:t xml:space="preserve"> A separate policy will cover this type of charge.</w:t>
      </w:r>
    </w:p>
    <w:p w14:paraId="0BFBF1AF" w14:textId="77777777" w:rsidR="00643379" w:rsidRDefault="00643379" w:rsidP="00EA666A">
      <w:pPr>
        <w:spacing w:after="3" w:line="291" w:lineRule="auto"/>
        <w:ind w:left="-5" w:hanging="10"/>
        <w:jc w:val="left"/>
        <w:rPr>
          <w:rFonts w:ascii="Arial" w:eastAsia="Arial" w:hAnsi="Arial" w:cs="Arial"/>
          <w:b/>
          <w:color w:val="000000" w:themeColor="text1"/>
          <w:lang w:eastAsia="en-GB"/>
        </w:rPr>
      </w:pPr>
    </w:p>
    <w:p w14:paraId="5B738E0E" w14:textId="51ECE9FF" w:rsidR="00643379" w:rsidRDefault="00643379" w:rsidP="00EA666A">
      <w:pPr>
        <w:spacing w:after="3" w:line="291" w:lineRule="auto"/>
        <w:ind w:left="-5" w:hanging="10"/>
        <w:jc w:val="left"/>
        <w:rPr>
          <w:rFonts w:ascii="Arial" w:eastAsia="Arial" w:hAnsi="Arial" w:cs="Arial"/>
          <w:b/>
          <w:color w:val="000000" w:themeColor="text1"/>
          <w:lang w:eastAsia="en-GB"/>
        </w:rPr>
      </w:pPr>
    </w:p>
    <w:p w14:paraId="08D9BEC5" w14:textId="24784AF5" w:rsidR="00CD58FF" w:rsidRDefault="00CD58FF" w:rsidP="00EA666A">
      <w:pPr>
        <w:spacing w:after="3" w:line="291" w:lineRule="auto"/>
        <w:ind w:left="-5" w:hanging="10"/>
        <w:jc w:val="left"/>
        <w:rPr>
          <w:rFonts w:ascii="Arial" w:eastAsia="Arial" w:hAnsi="Arial" w:cs="Arial"/>
          <w:b/>
          <w:color w:val="000000" w:themeColor="text1"/>
          <w:lang w:eastAsia="en-GB"/>
        </w:rPr>
      </w:pPr>
    </w:p>
    <w:p w14:paraId="35E0661B" w14:textId="7CB9F01F" w:rsidR="00CD58FF" w:rsidRDefault="00CD58FF" w:rsidP="00EA666A">
      <w:pPr>
        <w:spacing w:after="3" w:line="291" w:lineRule="auto"/>
        <w:ind w:left="-5" w:hanging="10"/>
        <w:jc w:val="left"/>
        <w:rPr>
          <w:rFonts w:ascii="Arial" w:eastAsia="Arial" w:hAnsi="Arial" w:cs="Arial"/>
          <w:b/>
          <w:color w:val="000000" w:themeColor="text1"/>
          <w:lang w:eastAsia="en-GB"/>
        </w:rPr>
      </w:pPr>
    </w:p>
    <w:p w14:paraId="043DDF0F" w14:textId="77777777" w:rsidR="00CD58FF" w:rsidRDefault="00CD58FF" w:rsidP="00EA666A">
      <w:pPr>
        <w:spacing w:after="3" w:line="291" w:lineRule="auto"/>
        <w:ind w:left="-5" w:hanging="10"/>
        <w:jc w:val="left"/>
        <w:rPr>
          <w:rFonts w:ascii="Arial" w:eastAsia="Arial" w:hAnsi="Arial" w:cs="Arial"/>
          <w:b/>
          <w:color w:val="000000" w:themeColor="text1"/>
          <w:lang w:eastAsia="en-GB"/>
        </w:rPr>
      </w:pPr>
    </w:p>
    <w:p w14:paraId="7B1D93DC" w14:textId="77777777" w:rsidR="00643379" w:rsidRDefault="00643379" w:rsidP="00EA666A">
      <w:pPr>
        <w:spacing w:after="3" w:line="291" w:lineRule="auto"/>
        <w:ind w:left="-5" w:hanging="10"/>
        <w:jc w:val="left"/>
        <w:rPr>
          <w:rFonts w:ascii="Arial" w:eastAsia="Arial" w:hAnsi="Arial" w:cs="Arial"/>
          <w:b/>
          <w:color w:val="000000" w:themeColor="text1"/>
          <w:lang w:eastAsia="en-GB"/>
        </w:rPr>
      </w:pPr>
    </w:p>
    <w:p w14:paraId="38BE6AE4" w14:textId="77777777" w:rsidR="00FE11F9" w:rsidRPr="00FE11F9" w:rsidRDefault="00FE11F9" w:rsidP="00EA666A">
      <w:pPr>
        <w:spacing w:after="3" w:line="291" w:lineRule="auto"/>
        <w:ind w:left="-5" w:hanging="10"/>
        <w:jc w:val="left"/>
        <w:rPr>
          <w:rFonts w:ascii="Arial" w:eastAsia="Arial" w:hAnsi="Arial" w:cs="Arial"/>
          <w:b/>
          <w:color w:val="000000" w:themeColor="text1"/>
          <w:lang w:eastAsia="en-GB"/>
        </w:rPr>
      </w:pPr>
      <w:r w:rsidRPr="00FE11F9">
        <w:rPr>
          <w:rFonts w:ascii="Arial" w:eastAsia="Arial" w:hAnsi="Arial" w:cs="Arial"/>
          <w:b/>
          <w:color w:val="000000" w:themeColor="text1"/>
          <w:lang w:eastAsia="en-GB"/>
        </w:rPr>
        <w:lastRenderedPageBreak/>
        <w:t>1.</w:t>
      </w:r>
      <w:r w:rsidR="003E692D">
        <w:rPr>
          <w:rFonts w:ascii="Arial" w:eastAsia="Arial" w:hAnsi="Arial" w:cs="Arial"/>
          <w:b/>
          <w:color w:val="000000" w:themeColor="text1"/>
          <w:lang w:eastAsia="en-GB"/>
        </w:rPr>
        <w:t>3</w:t>
      </w:r>
      <w:r w:rsidRPr="00FE11F9">
        <w:rPr>
          <w:rFonts w:ascii="Arial" w:eastAsia="Arial" w:hAnsi="Arial" w:cs="Arial"/>
          <w:b/>
          <w:color w:val="000000" w:themeColor="text1"/>
          <w:lang w:eastAsia="en-GB"/>
        </w:rPr>
        <w:t xml:space="preserve"> History</w:t>
      </w:r>
    </w:p>
    <w:p w14:paraId="7C176BFD" w14:textId="77777777" w:rsidR="00FE11F9" w:rsidRDefault="00FE11F9" w:rsidP="00EA666A">
      <w:pPr>
        <w:spacing w:after="3" w:line="291" w:lineRule="auto"/>
        <w:ind w:left="-5" w:hanging="10"/>
        <w:jc w:val="left"/>
        <w:rPr>
          <w:rFonts w:ascii="Arial" w:eastAsia="Arial" w:hAnsi="Arial" w:cs="Arial"/>
          <w:color w:val="000000" w:themeColor="text1"/>
          <w:lang w:eastAsia="en-GB"/>
        </w:rPr>
      </w:pPr>
    </w:p>
    <w:p w14:paraId="2996CDD6" w14:textId="14D95CF9" w:rsidR="00FE11F9" w:rsidRPr="00FE11F9" w:rsidRDefault="00FE11F9" w:rsidP="00FE11F9">
      <w:pPr>
        <w:spacing w:after="3" w:line="291" w:lineRule="auto"/>
        <w:ind w:left="-5" w:hanging="10"/>
        <w:jc w:val="left"/>
        <w:rPr>
          <w:rFonts w:ascii="Arial" w:eastAsia="Arial" w:hAnsi="Arial" w:cs="Arial"/>
          <w:color w:val="000000" w:themeColor="text1"/>
          <w:lang w:eastAsia="en-GB"/>
        </w:rPr>
      </w:pPr>
      <w:r w:rsidRPr="00FE11F9">
        <w:rPr>
          <w:rFonts w:ascii="Arial" w:eastAsia="Arial" w:hAnsi="Arial" w:cs="Arial"/>
          <w:color w:val="000000" w:themeColor="text1"/>
          <w:lang w:eastAsia="en-GB"/>
        </w:rPr>
        <w:t xml:space="preserve">Currently, for the majority of the Group’s </w:t>
      </w:r>
      <w:r w:rsidR="00136091">
        <w:rPr>
          <w:rFonts w:ascii="Arial" w:eastAsia="Arial" w:hAnsi="Arial" w:cs="Arial"/>
          <w:color w:val="000000" w:themeColor="text1"/>
          <w:lang w:eastAsia="en-GB"/>
        </w:rPr>
        <w:t xml:space="preserve">long term </w:t>
      </w:r>
      <w:r w:rsidRPr="00FE11F9">
        <w:rPr>
          <w:rFonts w:ascii="Arial" w:eastAsia="Arial" w:hAnsi="Arial" w:cs="Arial"/>
          <w:color w:val="000000" w:themeColor="text1"/>
          <w:lang w:eastAsia="en-GB"/>
        </w:rPr>
        <w:t>rented properties, separate services charges are not levied for additional services such as communal cleaning, gardening and electricity</w:t>
      </w:r>
      <w:r w:rsidR="00BD3F31">
        <w:rPr>
          <w:rFonts w:ascii="Arial" w:eastAsia="Arial" w:hAnsi="Arial" w:cs="Arial"/>
          <w:color w:val="000000" w:themeColor="text1"/>
          <w:lang w:eastAsia="en-GB"/>
        </w:rPr>
        <w:t xml:space="preserve"> in shared areas</w:t>
      </w:r>
      <w:r w:rsidR="00136091">
        <w:rPr>
          <w:rFonts w:ascii="Arial" w:eastAsia="Arial" w:hAnsi="Arial" w:cs="Arial"/>
          <w:color w:val="000000" w:themeColor="text1"/>
          <w:lang w:eastAsia="en-GB"/>
        </w:rPr>
        <w:t xml:space="preserve"> to tenants of their home </w:t>
      </w:r>
      <w:r w:rsidRPr="00FE11F9">
        <w:rPr>
          <w:rFonts w:ascii="Arial" w:eastAsia="Arial" w:hAnsi="Arial" w:cs="Arial"/>
          <w:color w:val="000000" w:themeColor="text1"/>
          <w:lang w:eastAsia="en-GB"/>
        </w:rPr>
        <w:t xml:space="preserve">.  The cost of these services </w:t>
      </w:r>
      <w:r w:rsidR="00BD3F31">
        <w:rPr>
          <w:rFonts w:ascii="Arial" w:eastAsia="Arial" w:hAnsi="Arial" w:cs="Arial"/>
          <w:color w:val="000000" w:themeColor="text1"/>
          <w:lang w:eastAsia="en-GB"/>
        </w:rPr>
        <w:t>is covered from the rent income</w:t>
      </w:r>
      <w:r w:rsidR="00367D81">
        <w:rPr>
          <w:rFonts w:ascii="Arial" w:eastAsia="Arial" w:hAnsi="Arial" w:cs="Arial"/>
          <w:color w:val="000000" w:themeColor="text1"/>
          <w:lang w:eastAsia="en-GB"/>
        </w:rPr>
        <w:t xml:space="preserve"> </w:t>
      </w:r>
      <w:r w:rsidR="00BD3F31">
        <w:rPr>
          <w:rFonts w:ascii="Arial" w:eastAsia="Arial" w:hAnsi="Arial" w:cs="Arial"/>
          <w:color w:val="000000" w:themeColor="text1"/>
          <w:lang w:eastAsia="en-GB"/>
        </w:rPr>
        <w:t>rec</w:t>
      </w:r>
      <w:r w:rsidR="00367D81">
        <w:rPr>
          <w:rFonts w:ascii="Arial" w:eastAsia="Arial" w:hAnsi="Arial" w:cs="Arial"/>
          <w:color w:val="000000" w:themeColor="text1"/>
          <w:lang w:eastAsia="en-GB"/>
        </w:rPr>
        <w:t>e</w:t>
      </w:r>
      <w:r w:rsidR="00BD3F31">
        <w:rPr>
          <w:rFonts w:ascii="Arial" w:eastAsia="Arial" w:hAnsi="Arial" w:cs="Arial"/>
          <w:color w:val="000000" w:themeColor="text1"/>
          <w:lang w:eastAsia="en-GB"/>
        </w:rPr>
        <w:t>ived from all properties</w:t>
      </w:r>
      <w:r w:rsidR="007252F3">
        <w:rPr>
          <w:rFonts w:ascii="Arial" w:eastAsia="Arial" w:hAnsi="Arial" w:cs="Arial"/>
          <w:color w:val="000000" w:themeColor="text1"/>
          <w:lang w:eastAsia="en-GB"/>
        </w:rPr>
        <w:t>.</w:t>
      </w:r>
      <w:r w:rsidRPr="00FE11F9">
        <w:rPr>
          <w:rFonts w:ascii="Arial" w:eastAsia="Arial" w:hAnsi="Arial" w:cs="Arial"/>
          <w:color w:val="000000" w:themeColor="text1"/>
          <w:lang w:eastAsia="en-GB"/>
        </w:rPr>
        <w:t xml:space="preserve"> </w:t>
      </w:r>
      <w:r w:rsidR="00735851">
        <w:rPr>
          <w:rFonts w:ascii="Arial" w:eastAsia="Arial" w:hAnsi="Arial" w:cs="Arial"/>
          <w:color w:val="000000" w:themeColor="text1"/>
          <w:lang w:eastAsia="en-GB"/>
        </w:rPr>
        <w:t>Also</w:t>
      </w:r>
      <w:r w:rsidR="00367D81">
        <w:rPr>
          <w:rFonts w:ascii="Arial" w:eastAsia="Arial" w:hAnsi="Arial" w:cs="Arial"/>
          <w:color w:val="000000" w:themeColor="text1"/>
          <w:lang w:eastAsia="en-GB"/>
        </w:rPr>
        <w:t>,</w:t>
      </w:r>
      <w:r w:rsidR="00735851">
        <w:rPr>
          <w:rFonts w:ascii="Arial" w:eastAsia="Arial" w:hAnsi="Arial" w:cs="Arial"/>
          <w:color w:val="000000" w:themeColor="text1"/>
          <w:lang w:eastAsia="en-GB"/>
        </w:rPr>
        <w:t xml:space="preserve"> some homes the Group rents are let under Affordable rent and this is a rental charge which is inclusive of service charges.</w:t>
      </w:r>
    </w:p>
    <w:p w14:paraId="19634736" w14:textId="77777777" w:rsidR="00FE11F9" w:rsidRPr="00FE11F9" w:rsidRDefault="00FE11F9" w:rsidP="00FE11F9">
      <w:pPr>
        <w:spacing w:after="3" w:line="291" w:lineRule="auto"/>
        <w:ind w:left="-5" w:hanging="10"/>
        <w:jc w:val="left"/>
        <w:rPr>
          <w:rFonts w:ascii="Arial" w:eastAsia="Arial" w:hAnsi="Arial" w:cs="Arial"/>
          <w:color w:val="000000" w:themeColor="text1"/>
          <w:lang w:eastAsia="en-GB"/>
        </w:rPr>
      </w:pPr>
    </w:p>
    <w:p w14:paraId="10AFAC80" w14:textId="63D1E590" w:rsidR="00FE11F9" w:rsidRDefault="00136091" w:rsidP="00FE11F9">
      <w:pPr>
        <w:spacing w:after="3" w:line="291" w:lineRule="auto"/>
        <w:ind w:left="-5" w:hanging="10"/>
        <w:jc w:val="left"/>
        <w:rPr>
          <w:rFonts w:ascii="Arial" w:eastAsia="Arial" w:hAnsi="Arial" w:cs="Arial"/>
          <w:color w:val="000000" w:themeColor="text1"/>
          <w:lang w:eastAsia="en-GB"/>
        </w:rPr>
      </w:pPr>
      <w:r>
        <w:rPr>
          <w:rFonts w:ascii="Arial" w:eastAsia="Arial" w:hAnsi="Arial" w:cs="Arial"/>
          <w:color w:val="000000" w:themeColor="text1"/>
          <w:lang w:eastAsia="en-GB"/>
        </w:rPr>
        <w:t xml:space="preserve">From </w:t>
      </w:r>
      <w:r w:rsidR="009E4B50">
        <w:rPr>
          <w:rFonts w:ascii="Arial" w:eastAsia="Arial" w:hAnsi="Arial" w:cs="Arial"/>
          <w:color w:val="000000" w:themeColor="text1"/>
          <w:lang w:eastAsia="en-GB"/>
        </w:rPr>
        <w:t>2018</w:t>
      </w:r>
      <w:r>
        <w:rPr>
          <w:rFonts w:ascii="Arial" w:eastAsia="Arial" w:hAnsi="Arial" w:cs="Arial"/>
          <w:color w:val="000000" w:themeColor="text1"/>
          <w:lang w:eastAsia="en-GB"/>
        </w:rPr>
        <w:t xml:space="preserve"> WCHG has been </w:t>
      </w:r>
      <w:r w:rsidR="00DF473C">
        <w:rPr>
          <w:rFonts w:ascii="Arial" w:eastAsia="Arial" w:hAnsi="Arial" w:cs="Arial"/>
          <w:color w:val="000000" w:themeColor="text1"/>
          <w:lang w:eastAsia="en-GB"/>
        </w:rPr>
        <w:t>disaggregating</w:t>
      </w:r>
      <w:r w:rsidR="00DA5F89">
        <w:rPr>
          <w:rFonts w:ascii="Arial" w:eastAsia="Arial" w:hAnsi="Arial" w:cs="Arial"/>
          <w:color w:val="000000" w:themeColor="text1"/>
          <w:lang w:eastAsia="en-GB"/>
        </w:rPr>
        <w:t xml:space="preserve"> (separately identifying the rent value and the service charge value and charging service charges on top of the rent)</w:t>
      </w:r>
      <w:r>
        <w:rPr>
          <w:rFonts w:ascii="Arial" w:eastAsia="Arial" w:hAnsi="Arial" w:cs="Arial"/>
          <w:color w:val="000000" w:themeColor="text1"/>
          <w:lang w:eastAsia="en-GB"/>
        </w:rPr>
        <w:t xml:space="preserve"> the service charges from the core rent</w:t>
      </w:r>
      <w:r w:rsidR="00FE11F9" w:rsidRPr="00FE11F9">
        <w:rPr>
          <w:rFonts w:ascii="Arial" w:eastAsia="Arial" w:hAnsi="Arial" w:cs="Arial"/>
          <w:color w:val="000000" w:themeColor="text1"/>
          <w:lang w:eastAsia="en-GB"/>
        </w:rPr>
        <w:t xml:space="preserve"> when </w:t>
      </w:r>
      <w:r>
        <w:rPr>
          <w:rFonts w:ascii="Arial" w:eastAsia="Arial" w:hAnsi="Arial" w:cs="Arial"/>
          <w:color w:val="000000" w:themeColor="text1"/>
          <w:lang w:eastAsia="en-GB"/>
        </w:rPr>
        <w:t xml:space="preserve">relevant </w:t>
      </w:r>
      <w:r w:rsidR="00FE11F9" w:rsidRPr="00FE11F9">
        <w:rPr>
          <w:rFonts w:ascii="Arial" w:eastAsia="Arial" w:hAnsi="Arial" w:cs="Arial"/>
          <w:color w:val="000000" w:themeColor="text1"/>
          <w:lang w:eastAsia="en-GB"/>
        </w:rPr>
        <w:t>propert</w:t>
      </w:r>
      <w:r>
        <w:rPr>
          <w:rFonts w:ascii="Arial" w:eastAsia="Arial" w:hAnsi="Arial" w:cs="Arial"/>
          <w:color w:val="000000" w:themeColor="text1"/>
          <w:lang w:eastAsia="en-GB"/>
        </w:rPr>
        <w:t>ies that receive services are</w:t>
      </w:r>
      <w:r w:rsidR="00FE11F9" w:rsidRPr="00FE11F9">
        <w:rPr>
          <w:rFonts w:ascii="Arial" w:eastAsia="Arial" w:hAnsi="Arial" w:cs="Arial"/>
          <w:color w:val="000000" w:themeColor="text1"/>
          <w:lang w:eastAsia="en-GB"/>
        </w:rPr>
        <w:t xml:space="preserve"> re-let</w:t>
      </w:r>
      <w:r w:rsidR="00AC430D">
        <w:rPr>
          <w:rFonts w:ascii="Arial" w:eastAsia="Arial" w:hAnsi="Arial" w:cs="Arial"/>
          <w:color w:val="000000" w:themeColor="text1"/>
          <w:lang w:eastAsia="en-GB"/>
        </w:rPr>
        <w:t xml:space="preserve"> as a social rented property</w:t>
      </w:r>
      <w:r w:rsidR="00FE11F9" w:rsidRPr="00FE11F9">
        <w:rPr>
          <w:rFonts w:ascii="Arial" w:eastAsia="Arial" w:hAnsi="Arial" w:cs="Arial"/>
          <w:color w:val="000000" w:themeColor="text1"/>
          <w:lang w:eastAsia="en-GB"/>
        </w:rPr>
        <w:t xml:space="preserve">. The </w:t>
      </w:r>
      <w:r>
        <w:rPr>
          <w:rFonts w:ascii="Arial" w:eastAsia="Arial" w:hAnsi="Arial" w:cs="Arial"/>
          <w:color w:val="000000" w:themeColor="text1"/>
          <w:lang w:eastAsia="en-GB"/>
        </w:rPr>
        <w:t xml:space="preserve">gross </w:t>
      </w:r>
      <w:r w:rsidR="00FE11F9" w:rsidRPr="00FE11F9">
        <w:rPr>
          <w:rFonts w:ascii="Arial" w:eastAsia="Arial" w:hAnsi="Arial" w:cs="Arial"/>
          <w:color w:val="000000" w:themeColor="text1"/>
          <w:lang w:eastAsia="en-GB"/>
        </w:rPr>
        <w:t>rent</w:t>
      </w:r>
      <w:r>
        <w:rPr>
          <w:rFonts w:ascii="Arial" w:eastAsia="Arial" w:hAnsi="Arial" w:cs="Arial"/>
          <w:color w:val="000000" w:themeColor="text1"/>
          <w:lang w:eastAsia="en-GB"/>
        </w:rPr>
        <w:t>al charge</w:t>
      </w:r>
      <w:r w:rsidR="00FE11F9" w:rsidRPr="00FE11F9">
        <w:rPr>
          <w:rFonts w:ascii="Arial" w:eastAsia="Arial" w:hAnsi="Arial" w:cs="Arial"/>
          <w:color w:val="000000" w:themeColor="text1"/>
          <w:lang w:eastAsia="en-GB"/>
        </w:rPr>
        <w:t xml:space="preserve"> will be set </w:t>
      </w:r>
      <w:r>
        <w:rPr>
          <w:rFonts w:ascii="Arial" w:eastAsia="Arial" w:hAnsi="Arial" w:cs="Arial"/>
          <w:color w:val="000000" w:themeColor="text1"/>
          <w:lang w:eastAsia="en-GB"/>
        </w:rPr>
        <w:t>by calculating the net rent (see Rent Policy)</w:t>
      </w:r>
      <w:r w:rsidR="00FE11F9" w:rsidRPr="00FE11F9">
        <w:rPr>
          <w:rFonts w:ascii="Arial" w:eastAsia="Arial" w:hAnsi="Arial" w:cs="Arial"/>
          <w:color w:val="000000" w:themeColor="text1"/>
          <w:lang w:eastAsia="en-GB"/>
        </w:rPr>
        <w:t xml:space="preserve">, plus </w:t>
      </w:r>
      <w:r>
        <w:rPr>
          <w:rFonts w:ascii="Arial" w:eastAsia="Arial" w:hAnsi="Arial" w:cs="Arial"/>
          <w:color w:val="000000" w:themeColor="text1"/>
          <w:lang w:eastAsia="en-GB"/>
        </w:rPr>
        <w:t xml:space="preserve">including </w:t>
      </w:r>
      <w:r w:rsidR="00FE11F9" w:rsidRPr="00FE11F9">
        <w:rPr>
          <w:rFonts w:ascii="Arial" w:eastAsia="Arial" w:hAnsi="Arial" w:cs="Arial"/>
          <w:color w:val="000000" w:themeColor="text1"/>
          <w:lang w:eastAsia="en-GB"/>
        </w:rPr>
        <w:t xml:space="preserve">the variable service charge. </w:t>
      </w:r>
    </w:p>
    <w:p w14:paraId="3E7961B9" w14:textId="77777777" w:rsidR="00FE11F9" w:rsidRDefault="00FE11F9" w:rsidP="00EA666A">
      <w:pPr>
        <w:spacing w:after="3" w:line="291" w:lineRule="auto"/>
        <w:ind w:left="-5" w:hanging="10"/>
        <w:jc w:val="left"/>
        <w:rPr>
          <w:rFonts w:ascii="Arial" w:eastAsia="Arial" w:hAnsi="Arial" w:cs="Arial"/>
          <w:color w:val="000000" w:themeColor="text1"/>
          <w:lang w:eastAsia="en-GB"/>
        </w:rPr>
      </w:pPr>
    </w:p>
    <w:p w14:paraId="51A6CB06" w14:textId="77777777" w:rsidR="00FE11F9" w:rsidRDefault="00FE11F9" w:rsidP="00EA666A">
      <w:pPr>
        <w:spacing w:after="3" w:line="291" w:lineRule="auto"/>
        <w:ind w:left="-5" w:hanging="10"/>
        <w:jc w:val="left"/>
        <w:rPr>
          <w:rFonts w:ascii="Arial" w:eastAsia="Arial" w:hAnsi="Arial" w:cs="Arial"/>
          <w:color w:val="000000" w:themeColor="text1"/>
          <w:lang w:eastAsia="en-GB"/>
        </w:rPr>
      </w:pPr>
    </w:p>
    <w:p w14:paraId="06C796B3" w14:textId="77777777" w:rsidR="00BA1E24" w:rsidRPr="00BA1E24" w:rsidRDefault="00BA1E24" w:rsidP="00BA1E24">
      <w:pPr>
        <w:spacing w:after="0"/>
        <w:ind w:left="0"/>
        <w:rPr>
          <w:rFonts w:ascii="Arial" w:hAnsi="Arial" w:cs="Arial"/>
          <w:b/>
        </w:rPr>
      </w:pPr>
      <w:r>
        <w:rPr>
          <w:rFonts w:ascii="Arial" w:hAnsi="Arial" w:cs="Arial"/>
          <w:b/>
        </w:rPr>
        <w:t xml:space="preserve">2.0 </w:t>
      </w:r>
      <w:r w:rsidRPr="00BA1E24">
        <w:rPr>
          <w:rFonts w:ascii="Arial" w:hAnsi="Arial" w:cs="Arial"/>
          <w:b/>
        </w:rPr>
        <w:t>Aims and Principles</w:t>
      </w:r>
      <w:r w:rsidR="00FF1285">
        <w:rPr>
          <w:rFonts w:ascii="Arial" w:hAnsi="Arial" w:cs="Arial"/>
          <w:b/>
        </w:rPr>
        <w:t xml:space="preserve"> of the policy</w:t>
      </w:r>
    </w:p>
    <w:p w14:paraId="31ED0B9F" w14:textId="77777777" w:rsidR="00BA1E24" w:rsidRPr="00ED616A" w:rsidRDefault="00BA1E24" w:rsidP="00BA1E24">
      <w:pPr>
        <w:pStyle w:val="ListParagraph"/>
        <w:spacing w:after="0"/>
        <w:ind w:left="1460"/>
        <w:rPr>
          <w:rFonts w:ascii="Arial" w:hAnsi="Arial" w:cs="Arial"/>
        </w:rPr>
      </w:pPr>
    </w:p>
    <w:p w14:paraId="6DE3AE3F" w14:textId="6D7143CB" w:rsidR="00FA77FE" w:rsidRPr="00FA77FE" w:rsidRDefault="00FA77FE" w:rsidP="00FA77FE">
      <w:pPr>
        <w:pStyle w:val="paragraph"/>
        <w:spacing w:before="0" w:beforeAutospacing="0" w:after="0" w:afterAutospacing="0"/>
        <w:jc w:val="both"/>
        <w:textAlignment w:val="baseline"/>
        <w:rPr>
          <w:rFonts w:ascii="Segoe UI" w:hAnsi="Segoe UI" w:cs="Segoe UI"/>
          <w:sz w:val="22"/>
          <w:szCs w:val="22"/>
        </w:rPr>
      </w:pPr>
      <w:r w:rsidRPr="00FA77FE">
        <w:rPr>
          <w:rStyle w:val="normaltextrun"/>
          <w:rFonts w:ascii="Arial" w:hAnsi="Arial" w:cs="Arial"/>
          <w:sz w:val="22"/>
          <w:szCs w:val="22"/>
        </w:rPr>
        <w:t xml:space="preserve">This policy sets out the approach to setting and reviewing service charges for all properties which </w:t>
      </w:r>
      <w:r w:rsidR="006E1ED9">
        <w:rPr>
          <w:rStyle w:val="normaltextrun"/>
          <w:rFonts w:ascii="Arial" w:hAnsi="Arial" w:cs="Arial"/>
          <w:sz w:val="22"/>
          <w:szCs w:val="22"/>
        </w:rPr>
        <w:t xml:space="preserve">receive a service from WCHG and </w:t>
      </w:r>
      <w:r w:rsidR="00D768F4">
        <w:rPr>
          <w:rStyle w:val="normaltextrun"/>
          <w:rFonts w:ascii="Arial" w:hAnsi="Arial" w:cs="Arial"/>
          <w:sz w:val="22"/>
          <w:szCs w:val="22"/>
        </w:rPr>
        <w:t xml:space="preserve">therefore </w:t>
      </w:r>
      <w:r w:rsidRPr="00FA77FE">
        <w:rPr>
          <w:rStyle w:val="normaltextrun"/>
          <w:rFonts w:ascii="Arial" w:hAnsi="Arial" w:cs="Arial"/>
          <w:sz w:val="22"/>
          <w:szCs w:val="22"/>
        </w:rPr>
        <w:t xml:space="preserve">pay a service charge </w:t>
      </w:r>
      <w:r>
        <w:rPr>
          <w:rStyle w:val="normaltextrun"/>
          <w:rFonts w:ascii="Arial" w:hAnsi="Arial" w:cs="Arial"/>
          <w:sz w:val="22"/>
          <w:szCs w:val="22"/>
        </w:rPr>
        <w:t>to WCHG</w:t>
      </w:r>
      <w:r w:rsidRPr="00FA77FE">
        <w:rPr>
          <w:rStyle w:val="normaltextrun"/>
          <w:rFonts w:ascii="Arial" w:hAnsi="Arial" w:cs="Arial"/>
          <w:sz w:val="22"/>
          <w:szCs w:val="22"/>
        </w:rPr>
        <w:t>.</w:t>
      </w:r>
      <w:r w:rsidRPr="00FA77FE">
        <w:rPr>
          <w:rStyle w:val="eop"/>
          <w:rFonts w:cs="Arial"/>
          <w:sz w:val="22"/>
          <w:szCs w:val="22"/>
        </w:rPr>
        <w:t> </w:t>
      </w:r>
    </w:p>
    <w:p w14:paraId="52A09EC5" w14:textId="77777777" w:rsidR="00FA77FE" w:rsidRDefault="00FA77FE" w:rsidP="00FA77FE">
      <w:pPr>
        <w:pStyle w:val="paragraph"/>
        <w:spacing w:before="0" w:beforeAutospacing="0" w:after="0" w:afterAutospacing="0"/>
        <w:jc w:val="both"/>
        <w:textAlignment w:val="baseline"/>
        <w:rPr>
          <w:rStyle w:val="normaltextrun"/>
          <w:rFonts w:ascii="Arial" w:hAnsi="Arial" w:cs="Arial"/>
          <w:sz w:val="22"/>
          <w:szCs w:val="22"/>
        </w:rPr>
      </w:pPr>
    </w:p>
    <w:p w14:paraId="76F7DD61" w14:textId="77777777" w:rsidR="00FA77FE" w:rsidRPr="00FA77FE" w:rsidRDefault="00FA77FE" w:rsidP="00FA77FE">
      <w:pPr>
        <w:pStyle w:val="paragraph"/>
        <w:spacing w:before="0" w:beforeAutospacing="0" w:after="0" w:afterAutospacing="0"/>
        <w:jc w:val="both"/>
        <w:textAlignment w:val="baseline"/>
        <w:rPr>
          <w:rFonts w:ascii="Segoe UI" w:hAnsi="Segoe UI" w:cs="Segoe UI"/>
          <w:sz w:val="22"/>
          <w:szCs w:val="22"/>
        </w:rPr>
      </w:pPr>
      <w:r w:rsidRPr="00FA77FE">
        <w:rPr>
          <w:rStyle w:val="normaltextrun"/>
          <w:rFonts w:ascii="Arial" w:hAnsi="Arial" w:cs="Arial"/>
          <w:sz w:val="22"/>
          <w:szCs w:val="22"/>
        </w:rPr>
        <w:t>It aims to:</w:t>
      </w:r>
      <w:r w:rsidRPr="00FA77FE">
        <w:rPr>
          <w:rStyle w:val="eop"/>
          <w:rFonts w:cs="Arial"/>
          <w:sz w:val="22"/>
          <w:szCs w:val="22"/>
        </w:rPr>
        <w:t> </w:t>
      </w:r>
    </w:p>
    <w:p w14:paraId="1DF4CF12" w14:textId="77777777" w:rsidR="00FA77FE" w:rsidRPr="00FA77FE" w:rsidRDefault="00FA77FE" w:rsidP="00FA77FE">
      <w:pPr>
        <w:pStyle w:val="paragraph"/>
        <w:numPr>
          <w:ilvl w:val="0"/>
          <w:numId w:val="17"/>
        </w:numPr>
        <w:spacing w:before="0" w:beforeAutospacing="0" w:after="0" w:afterAutospacing="0"/>
        <w:ind w:left="360" w:firstLine="0"/>
        <w:jc w:val="both"/>
        <w:textAlignment w:val="baseline"/>
        <w:rPr>
          <w:rFonts w:ascii="Arial" w:hAnsi="Arial" w:cs="Arial"/>
          <w:sz w:val="22"/>
          <w:szCs w:val="22"/>
        </w:rPr>
      </w:pPr>
      <w:r w:rsidRPr="00FA77FE">
        <w:rPr>
          <w:rStyle w:val="normaltextrun"/>
          <w:rFonts w:ascii="Arial" w:hAnsi="Arial" w:cs="Arial"/>
          <w:sz w:val="22"/>
          <w:szCs w:val="22"/>
        </w:rPr>
        <w:t>Define our approach in setting service charges for customers.</w:t>
      </w:r>
      <w:r w:rsidRPr="00FA77FE">
        <w:rPr>
          <w:rStyle w:val="eop"/>
          <w:rFonts w:cs="Arial"/>
          <w:sz w:val="22"/>
          <w:szCs w:val="22"/>
        </w:rPr>
        <w:t> </w:t>
      </w:r>
    </w:p>
    <w:p w14:paraId="53B8B0B1" w14:textId="77777777" w:rsidR="00FA77FE" w:rsidRPr="00E83904" w:rsidRDefault="007441FF" w:rsidP="00FA77FE">
      <w:pPr>
        <w:pStyle w:val="paragraph"/>
        <w:numPr>
          <w:ilvl w:val="0"/>
          <w:numId w:val="18"/>
        </w:numPr>
        <w:spacing w:before="0" w:beforeAutospacing="0" w:after="0" w:afterAutospacing="0"/>
        <w:ind w:left="360" w:firstLine="0"/>
        <w:jc w:val="both"/>
        <w:textAlignment w:val="baseline"/>
        <w:rPr>
          <w:rStyle w:val="eop"/>
          <w:rFonts w:ascii="Arial" w:hAnsi="Arial" w:cs="Arial"/>
          <w:sz w:val="22"/>
          <w:szCs w:val="22"/>
        </w:rPr>
      </w:pPr>
      <w:r>
        <w:rPr>
          <w:rStyle w:val="normaltextrun"/>
          <w:rFonts w:ascii="Arial" w:hAnsi="Arial" w:cs="Arial"/>
          <w:sz w:val="22"/>
          <w:szCs w:val="22"/>
        </w:rPr>
        <w:t>Ensure we c</w:t>
      </w:r>
      <w:r w:rsidR="00FA77FE" w:rsidRPr="00FA77FE">
        <w:rPr>
          <w:rStyle w:val="normaltextrun"/>
          <w:rFonts w:ascii="Arial" w:hAnsi="Arial" w:cs="Arial"/>
          <w:sz w:val="22"/>
          <w:szCs w:val="22"/>
        </w:rPr>
        <w:t>omply with legal and regulatory standards.</w:t>
      </w:r>
      <w:r w:rsidR="00FA77FE" w:rsidRPr="00FA77FE">
        <w:rPr>
          <w:rStyle w:val="eop"/>
          <w:rFonts w:cs="Arial"/>
          <w:sz w:val="22"/>
          <w:szCs w:val="22"/>
        </w:rPr>
        <w:t> </w:t>
      </w:r>
    </w:p>
    <w:p w14:paraId="6F5F5741" w14:textId="77777777" w:rsidR="00E83904" w:rsidRDefault="00E83904" w:rsidP="00FA77FE">
      <w:pPr>
        <w:pStyle w:val="paragraph"/>
        <w:numPr>
          <w:ilvl w:val="0"/>
          <w:numId w:val="18"/>
        </w:numPr>
        <w:spacing w:before="0" w:beforeAutospacing="0" w:after="0" w:afterAutospacing="0"/>
        <w:ind w:left="360" w:firstLine="0"/>
        <w:jc w:val="both"/>
        <w:textAlignment w:val="baseline"/>
        <w:rPr>
          <w:rFonts w:ascii="Arial" w:hAnsi="Arial" w:cs="Arial"/>
          <w:sz w:val="22"/>
          <w:szCs w:val="22"/>
        </w:rPr>
      </w:pPr>
      <w:r>
        <w:rPr>
          <w:rFonts w:ascii="Arial" w:hAnsi="Arial" w:cs="Arial"/>
          <w:sz w:val="22"/>
          <w:szCs w:val="22"/>
        </w:rPr>
        <w:t xml:space="preserve">Support the recovery of 100% of the costs of providing services to maintain the     </w:t>
      </w:r>
    </w:p>
    <w:p w14:paraId="37A35A77" w14:textId="77777777" w:rsidR="00E83904" w:rsidRPr="00FA77FE" w:rsidRDefault="00E83904" w:rsidP="00E83904">
      <w:pPr>
        <w:pStyle w:val="paragraph"/>
        <w:spacing w:before="0" w:beforeAutospacing="0" w:after="0" w:afterAutospacing="0"/>
        <w:ind w:left="360"/>
        <w:jc w:val="both"/>
        <w:textAlignment w:val="baseline"/>
        <w:rPr>
          <w:rFonts w:ascii="Arial" w:hAnsi="Arial" w:cs="Arial"/>
          <w:sz w:val="22"/>
          <w:szCs w:val="22"/>
        </w:rPr>
      </w:pPr>
      <w:r>
        <w:rPr>
          <w:rFonts w:ascii="Arial" w:hAnsi="Arial" w:cs="Arial"/>
          <w:sz w:val="22"/>
          <w:szCs w:val="22"/>
        </w:rPr>
        <w:t xml:space="preserve">      financial viability of this service provision</w:t>
      </w:r>
    </w:p>
    <w:p w14:paraId="10D258D5" w14:textId="77777777" w:rsidR="00E83904" w:rsidRDefault="00FA77FE" w:rsidP="00FA77FE">
      <w:pPr>
        <w:pStyle w:val="paragraph"/>
        <w:numPr>
          <w:ilvl w:val="0"/>
          <w:numId w:val="19"/>
        </w:numPr>
        <w:spacing w:before="0" w:beforeAutospacing="0" w:after="0" w:afterAutospacing="0"/>
        <w:ind w:left="360" w:firstLine="0"/>
        <w:jc w:val="both"/>
        <w:textAlignment w:val="baseline"/>
        <w:rPr>
          <w:rStyle w:val="normaltextrun"/>
          <w:rFonts w:ascii="Arial" w:hAnsi="Arial" w:cs="Arial"/>
          <w:sz w:val="22"/>
          <w:szCs w:val="22"/>
        </w:rPr>
      </w:pPr>
      <w:r w:rsidRPr="00FA77FE">
        <w:rPr>
          <w:rStyle w:val="normaltextrun"/>
          <w:rFonts w:ascii="Arial" w:hAnsi="Arial" w:cs="Arial"/>
          <w:sz w:val="22"/>
          <w:szCs w:val="22"/>
        </w:rPr>
        <w:t xml:space="preserve">Demonstrate fairness and transparency to customers in our administration of service </w:t>
      </w:r>
      <w:r w:rsidR="00E83904">
        <w:rPr>
          <w:rStyle w:val="normaltextrun"/>
          <w:rFonts w:ascii="Arial" w:hAnsi="Arial" w:cs="Arial"/>
          <w:sz w:val="22"/>
          <w:szCs w:val="22"/>
        </w:rPr>
        <w:t xml:space="preserve"> </w:t>
      </w:r>
    </w:p>
    <w:p w14:paraId="70A68F6F" w14:textId="77777777" w:rsidR="00FA77FE" w:rsidRPr="00FA77FE" w:rsidRDefault="00E83904" w:rsidP="00E83904">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      </w:t>
      </w:r>
      <w:r w:rsidR="00FA77FE" w:rsidRPr="00FA77FE">
        <w:rPr>
          <w:rStyle w:val="normaltextrun"/>
          <w:rFonts w:ascii="Arial" w:hAnsi="Arial" w:cs="Arial"/>
          <w:sz w:val="22"/>
          <w:szCs w:val="22"/>
        </w:rPr>
        <w:t>charges.</w:t>
      </w:r>
      <w:r w:rsidR="00FA77FE" w:rsidRPr="00FA77FE">
        <w:rPr>
          <w:rStyle w:val="eop"/>
          <w:rFonts w:cs="Arial"/>
          <w:sz w:val="22"/>
          <w:szCs w:val="22"/>
        </w:rPr>
        <w:t> </w:t>
      </w:r>
    </w:p>
    <w:p w14:paraId="40D98E09" w14:textId="77777777" w:rsidR="00FA77FE" w:rsidRDefault="00FA77FE" w:rsidP="00FA77FE">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752ABAB8" w14:textId="77777777" w:rsidR="00BA1E24" w:rsidRPr="00ED616A" w:rsidRDefault="00FA77FE" w:rsidP="00BA1E24">
      <w:pPr>
        <w:spacing w:after="0"/>
        <w:ind w:left="0"/>
        <w:rPr>
          <w:rFonts w:ascii="Arial" w:hAnsi="Arial" w:cs="Arial"/>
        </w:rPr>
      </w:pPr>
      <w:r>
        <w:rPr>
          <w:rFonts w:ascii="Arial" w:hAnsi="Arial" w:cs="Arial"/>
        </w:rPr>
        <w:t>To achieve these aims WCHG will:</w:t>
      </w:r>
    </w:p>
    <w:p w14:paraId="034A21AE" w14:textId="77777777" w:rsidR="00BA1E24" w:rsidRPr="00ED616A" w:rsidRDefault="00BA1E24" w:rsidP="00BA1E24">
      <w:pPr>
        <w:pStyle w:val="ListParagraph"/>
        <w:spacing w:after="0"/>
        <w:ind w:left="1460"/>
        <w:rPr>
          <w:rFonts w:ascii="Arial" w:hAnsi="Arial" w:cs="Arial"/>
        </w:rPr>
      </w:pPr>
    </w:p>
    <w:p w14:paraId="4DFAB500" w14:textId="77777777" w:rsidR="008A2893" w:rsidRDefault="008A2893" w:rsidP="00BA1E24">
      <w:pPr>
        <w:pStyle w:val="ListParagraph"/>
        <w:numPr>
          <w:ilvl w:val="0"/>
          <w:numId w:val="3"/>
        </w:numPr>
        <w:spacing w:after="0"/>
        <w:ind w:left="709"/>
        <w:rPr>
          <w:rFonts w:ascii="Arial" w:hAnsi="Arial" w:cs="Arial"/>
        </w:rPr>
      </w:pPr>
      <w:r>
        <w:rPr>
          <w:rFonts w:ascii="Arial" w:hAnsi="Arial" w:cs="Arial"/>
        </w:rPr>
        <w:t xml:space="preserve">  </w:t>
      </w:r>
      <w:r w:rsidR="00BA1E24" w:rsidRPr="00ED616A">
        <w:rPr>
          <w:rFonts w:ascii="Arial" w:hAnsi="Arial" w:cs="Arial"/>
        </w:rPr>
        <w:t xml:space="preserve">Ensure compliance with service laws and regulations in that Service Charges are </w:t>
      </w:r>
      <w:r>
        <w:rPr>
          <w:rFonts w:ascii="Arial" w:hAnsi="Arial" w:cs="Arial"/>
        </w:rPr>
        <w:t xml:space="preserve">  </w:t>
      </w:r>
    </w:p>
    <w:p w14:paraId="25FEA1F6" w14:textId="77777777" w:rsidR="008A2893" w:rsidRDefault="008A2893" w:rsidP="008A2893">
      <w:pPr>
        <w:pStyle w:val="ListParagraph"/>
        <w:spacing w:after="0"/>
        <w:ind w:left="709"/>
        <w:rPr>
          <w:rFonts w:ascii="Arial" w:hAnsi="Arial" w:cs="Arial"/>
        </w:rPr>
      </w:pPr>
      <w:r>
        <w:rPr>
          <w:rFonts w:ascii="Arial" w:hAnsi="Arial" w:cs="Arial"/>
        </w:rPr>
        <w:t xml:space="preserve">  </w:t>
      </w:r>
      <w:r w:rsidR="00BA1E24" w:rsidRPr="00ED616A">
        <w:rPr>
          <w:rFonts w:ascii="Arial" w:hAnsi="Arial" w:cs="Arial"/>
        </w:rPr>
        <w:t xml:space="preserve">subject to separate legal requirements and are limited to the cost of providing the </w:t>
      </w:r>
      <w:r>
        <w:rPr>
          <w:rFonts w:ascii="Arial" w:hAnsi="Arial" w:cs="Arial"/>
        </w:rPr>
        <w:t xml:space="preserve"> </w:t>
      </w:r>
    </w:p>
    <w:p w14:paraId="3498267F" w14:textId="77777777" w:rsidR="00BA1E24" w:rsidRPr="00ED616A" w:rsidRDefault="008A2893" w:rsidP="008A2893">
      <w:pPr>
        <w:pStyle w:val="ListParagraph"/>
        <w:spacing w:after="0"/>
        <w:ind w:left="709"/>
        <w:rPr>
          <w:rFonts w:ascii="Arial" w:hAnsi="Arial" w:cs="Arial"/>
        </w:rPr>
      </w:pPr>
      <w:r>
        <w:rPr>
          <w:rFonts w:ascii="Arial" w:hAnsi="Arial" w:cs="Arial"/>
        </w:rPr>
        <w:t xml:space="preserve">  </w:t>
      </w:r>
      <w:r w:rsidR="00BA1E24" w:rsidRPr="00ED616A">
        <w:rPr>
          <w:rFonts w:ascii="Arial" w:hAnsi="Arial" w:cs="Arial"/>
        </w:rPr>
        <w:t>services.</w:t>
      </w:r>
    </w:p>
    <w:p w14:paraId="4C099E98" w14:textId="77777777" w:rsidR="008A2893" w:rsidRDefault="008A2893" w:rsidP="00FA77FE">
      <w:pPr>
        <w:pStyle w:val="ListParagraph"/>
        <w:numPr>
          <w:ilvl w:val="0"/>
          <w:numId w:val="3"/>
        </w:numPr>
        <w:spacing w:after="0"/>
        <w:ind w:left="426" w:hanging="77"/>
        <w:rPr>
          <w:rFonts w:ascii="Arial" w:hAnsi="Arial" w:cs="Arial"/>
        </w:rPr>
      </w:pPr>
      <w:r>
        <w:rPr>
          <w:rFonts w:ascii="Arial" w:hAnsi="Arial" w:cs="Arial"/>
        </w:rPr>
        <w:t xml:space="preserve">  </w:t>
      </w:r>
      <w:r w:rsidR="00BA1E24" w:rsidRPr="00ED616A">
        <w:rPr>
          <w:rFonts w:ascii="Arial" w:hAnsi="Arial" w:cs="Arial"/>
        </w:rPr>
        <w:t xml:space="preserve">Provide </w:t>
      </w:r>
      <w:r w:rsidR="00111FAC">
        <w:rPr>
          <w:rFonts w:ascii="Arial" w:hAnsi="Arial" w:cs="Arial"/>
        </w:rPr>
        <w:t>customers</w:t>
      </w:r>
      <w:r w:rsidR="00BA1E24" w:rsidRPr="00ED616A">
        <w:rPr>
          <w:rFonts w:ascii="Arial" w:hAnsi="Arial" w:cs="Arial"/>
        </w:rPr>
        <w:t xml:space="preserve"> with clear guidance about the services they are receiving and the</w:t>
      </w:r>
    </w:p>
    <w:p w14:paraId="2815F97F" w14:textId="77777777" w:rsidR="00FA77FE" w:rsidRDefault="008A2893" w:rsidP="008A2893">
      <w:pPr>
        <w:pStyle w:val="ListParagraph"/>
        <w:spacing w:after="0"/>
        <w:ind w:left="709"/>
        <w:rPr>
          <w:rFonts w:ascii="Arial" w:hAnsi="Arial" w:cs="Arial"/>
        </w:rPr>
      </w:pPr>
      <w:r>
        <w:rPr>
          <w:rFonts w:ascii="Arial" w:hAnsi="Arial" w:cs="Arial"/>
        </w:rPr>
        <w:t xml:space="preserve">  </w:t>
      </w:r>
      <w:r w:rsidR="00BA1E24" w:rsidRPr="00ED616A">
        <w:rPr>
          <w:rFonts w:ascii="Arial" w:hAnsi="Arial" w:cs="Arial"/>
        </w:rPr>
        <w:t>respective cost.</w:t>
      </w:r>
      <w:r w:rsidR="00FA77FE">
        <w:rPr>
          <w:rFonts w:ascii="Arial" w:hAnsi="Arial" w:cs="Arial"/>
        </w:rPr>
        <w:t xml:space="preserve"> </w:t>
      </w:r>
    </w:p>
    <w:p w14:paraId="6E115387" w14:textId="77777777" w:rsidR="00FA77FE" w:rsidRDefault="00FA77FE" w:rsidP="00FA77FE">
      <w:pPr>
        <w:pStyle w:val="ListParagraph"/>
        <w:numPr>
          <w:ilvl w:val="0"/>
          <w:numId w:val="3"/>
        </w:numPr>
        <w:spacing w:after="0"/>
        <w:ind w:left="709"/>
        <w:rPr>
          <w:rFonts w:ascii="Arial" w:hAnsi="Arial" w:cs="Arial"/>
        </w:rPr>
      </w:pPr>
      <w:r>
        <w:rPr>
          <w:rFonts w:ascii="Arial" w:hAnsi="Arial" w:cs="Arial"/>
        </w:rPr>
        <w:t xml:space="preserve">  </w:t>
      </w:r>
      <w:r w:rsidRPr="00FA77FE">
        <w:rPr>
          <w:rFonts w:ascii="Arial" w:hAnsi="Arial" w:cs="Arial"/>
        </w:rPr>
        <w:t xml:space="preserve">Work on the basis that </w:t>
      </w:r>
      <w:r w:rsidR="00BA1E24" w:rsidRPr="00FA77FE">
        <w:rPr>
          <w:rFonts w:ascii="Arial" w:hAnsi="Arial" w:cs="Arial"/>
        </w:rPr>
        <w:t xml:space="preserve">Service Charges are variable, unless specifically stated as </w:t>
      </w:r>
      <w:r>
        <w:rPr>
          <w:rFonts w:ascii="Arial" w:hAnsi="Arial" w:cs="Arial"/>
        </w:rPr>
        <w:t xml:space="preserve">  </w:t>
      </w:r>
    </w:p>
    <w:p w14:paraId="29BE4C71" w14:textId="77777777" w:rsidR="00FA77FE" w:rsidRDefault="00FA77FE" w:rsidP="008A2893">
      <w:pPr>
        <w:pStyle w:val="ListParagraph"/>
        <w:spacing w:after="0"/>
        <w:ind w:left="709"/>
        <w:rPr>
          <w:rFonts w:ascii="Arial" w:hAnsi="Arial" w:cs="Arial"/>
        </w:rPr>
      </w:pPr>
      <w:r>
        <w:rPr>
          <w:rFonts w:ascii="Arial" w:hAnsi="Arial" w:cs="Arial"/>
        </w:rPr>
        <w:t xml:space="preserve">  </w:t>
      </w:r>
      <w:r w:rsidR="00BA1E24" w:rsidRPr="00FA77FE">
        <w:rPr>
          <w:rFonts w:ascii="Arial" w:hAnsi="Arial" w:cs="Arial"/>
        </w:rPr>
        <w:t xml:space="preserve">being </w:t>
      </w:r>
      <w:r>
        <w:rPr>
          <w:rFonts w:ascii="Arial" w:hAnsi="Arial" w:cs="Arial"/>
        </w:rPr>
        <w:t>f</w:t>
      </w:r>
      <w:r w:rsidR="00BA1E24" w:rsidRPr="00ED616A">
        <w:rPr>
          <w:rFonts w:ascii="Arial" w:hAnsi="Arial" w:cs="Arial"/>
        </w:rPr>
        <w:t>ixed in the tenancy agreement.</w:t>
      </w:r>
    </w:p>
    <w:p w14:paraId="04876232" w14:textId="77777777" w:rsidR="006A5C36" w:rsidRDefault="00FA77FE" w:rsidP="006A5C36">
      <w:pPr>
        <w:pStyle w:val="ListParagraph"/>
        <w:numPr>
          <w:ilvl w:val="0"/>
          <w:numId w:val="3"/>
        </w:numPr>
        <w:spacing w:after="0"/>
        <w:ind w:left="709"/>
        <w:rPr>
          <w:rFonts w:ascii="Arial" w:hAnsi="Arial" w:cs="Arial"/>
        </w:rPr>
      </w:pPr>
      <w:r>
        <w:rPr>
          <w:rFonts w:ascii="Arial" w:hAnsi="Arial" w:cs="Arial"/>
        </w:rPr>
        <w:t xml:space="preserve">  E</w:t>
      </w:r>
      <w:r w:rsidR="00BA1E24" w:rsidRPr="00FA77FE">
        <w:rPr>
          <w:rFonts w:ascii="Arial" w:hAnsi="Arial" w:cs="Arial"/>
        </w:rPr>
        <w:t>nsure all services offer both quality and value for money for tenants.</w:t>
      </w:r>
    </w:p>
    <w:p w14:paraId="58CED528" w14:textId="77777777" w:rsidR="00FA77FE" w:rsidRPr="006A5C36" w:rsidRDefault="006A5C36" w:rsidP="006A5C36">
      <w:pPr>
        <w:pStyle w:val="ListParagraph"/>
        <w:numPr>
          <w:ilvl w:val="0"/>
          <w:numId w:val="3"/>
        </w:numPr>
        <w:spacing w:after="0"/>
        <w:ind w:left="709"/>
        <w:rPr>
          <w:rFonts w:ascii="Arial" w:hAnsi="Arial" w:cs="Arial"/>
        </w:rPr>
      </w:pPr>
      <w:r>
        <w:rPr>
          <w:rFonts w:ascii="Arial" w:hAnsi="Arial" w:cs="Arial"/>
        </w:rPr>
        <w:t xml:space="preserve">  </w:t>
      </w:r>
      <w:r w:rsidR="00FA77FE" w:rsidRPr="006A5C36">
        <w:rPr>
          <w:rFonts w:ascii="Arial" w:hAnsi="Arial" w:cs="Arial"/>
        </w:rPr>
        <w:t>O</w:t>
      </w:r>
      <w:r w:rsidR="00BA1E24" w:rsidRPr="006A5C36">
        <w:rPr>
          <w:rFonts w:ascii="Arial" w:hAnsi="Arial" w:cs="Arial"/>
        </w:rPr>
        <w:t xml:space="preserve">nly introduce service charges within the permitted legal framework and based on </w:t>
      </w:r>
      <w:r w:rsidR="00FA77FE" w:rsidRPr="006A5C36">
        <w:rPr>
          <w:rFonts w:ascii="Arial" w:hAnsi="Arial" w:cs="Arial"/>
        </w:rPr>
        <w:t xml:space="preserve">   </w:t>
      </w:r>
    </w:p>
    <w:p w14:paraId="11D433D4" w14:textId="77777777" w:rsidR="00BA1E24" w:rsidRPr="00ED616A" w:rsidRDefault="00FA77FE" w:rsidP="00FA77FE">
      <w:pPr>
        <w:pStyle w:val="ListParagraph"/>
        <w:spacing w:after="0"/>
        <w:ind w:left="567"/>
        <w:rPr>
          <w:rFonts w:ascii="Arial" w:hAnsi="Arial" w:cs="Arial"/>
        </w:rPr>
      </w:pPr>
      <w:r>
        <w:rPr>
          <w:rFonts w:ascii="Arial" w:hAnsi="Arial" w:cs="Arial"/>
        </w:rPr>
        <w:t xml:space="preserve">    </w:t>
      </w:r>
      <w:r w:rsidR="00BA1E24" w:rsidRPr="00ED616A">
        <w:rPr>
          <w:rFonts w:ascii="Arial" w:hAnsi="Arial" w:cs="Arial"/>
        </w:rPr>
        <w:t>best practice.</w:t>
      </w:r>
    </w:p>
    <w:p w14:paraId="14D50CC2" w14:textId="77777777" w:rsidR="006A5C36" w:rsidRDefault="006A5C36" w:rsidP="006A5C36">
      <w:pPr>
        <w:pStyle w:val="ListParagraph"/>
        <w:numPr>
          <w:ilvl w:val="0"/>
          <w:numId w:val="20"/>
        </w:numPr>
        <w:spacing w:after="0"/>
        <w:rPr>
          <w:rFonts w:ascii="Arial" w:hAnsi="Arial" w:cs="Arial"/>
        </w:rPr>
      </w:pPr>
      <w:r>
        <w:rPr>
          <w:rFonts w:ascii="Arial" w:hAnsi="Arial" w:cs="Arial"/>
        </w:rPr>
        <w:t xml:space="preserve">  </w:t>
      </w:r>
      <w:r w:rsidR="00FA77FE" w:rsidRPr="006A5C36">
        <w:rPr>
          <w:rFonts w:ascii="Arial" w:hAnsi="Arial" w:cs="Arial"/>
        </w:rPr>
        <w:t>Ensure that s</w:t>
      </w:r>
      <w:r w:rsidR="00BA1E24" w:rsidRPr="006A5C36">
        <w:rPr>
          <w:rFonts w:ascii="Arial" w:hAnsi="Arial" w:cs="Arial"/>
        </w:rPr>
        <w:t xml:space="preserve">ervice charges will reflect WCHG’s legal obligations to maintain health </w:t>
      </w:r>
      <w:r w:rsidRPr="006A5C36">
        <w:rPr>
          <w:rFonts w:ascii="Arial" w:hAnsi="Arial" w:cs="Arial"/>
        </w:rPr>
        <w:t xml:space="preserve">   </w:t>
      </w:r>
      <w:r>
        <w:rPr>
          <w:rFonts w:ascii="Arial" w:hAnsi="Arial" w:cs="Arial"/>
        </w:rPr>
        <w:t xml:space="preserve"> </w:t>
      </w:r>
    </w:p>
    <w:p w14:paraId="4C571F8E" w14:textId="77777777" w:rsidR="00BA1E24" w:rsidRPr="006A5C36" w:rsidRDefault="006A5C36" w:rsidP="006A5C36">
      <w:pPr>
        <w:pStyle w:val="ListParagraph"/>
        <w:spacing w:after="0"/>
        <w:rPr>
          <w:rFonts w:ascii="Arial" w:hAnsi="Arial" w:cs="Arial"/>
        </w:rPr>
      </w:pPr>
      <w:r>
        <w:rPr>
          <w:rFonts w:ascii="Arial" w:hAnsi="Arial" w:cs="Arial"/>
        </w:rPr>
        <w:t xml:space="preserve">  </w:t>
      </w:r>
      <w:r w:rsidR="00BA1E24" w:rsidRPr="006A5C36">
        <w:rPr>
          <w:rFonts w:ascii="Arial" w:hAnsi="Arial" w:cs="Arial"/>
        </w:rPr>
        <w:t>and safety in its buildings in line with Government guidance.</w:t>
      </w:r>
    </w:p>
    <w:p w14:paraId="45626373" w14:textId="77777777" w:rsidR="006A5C36" w:rsidRDefault="006A5C36" w:rsidP="006A5C36">
      <w:pPr>
        <w:pStyle w:val="ListParagraph"/>
        <w:numPr>
          <w:ilvl w:val="0"/>
          <w:numId w:val="20"/>
        </w:numPr>
        <w:spacing w:after="0"/>
        <w:rPr>
          <w:rFonts w:ascii="Arial" w:hAnsi="Arial" w:cs="Arial"/>
        </w:rPr>
      </w:pPr>
      <w:r>
        <w:rPr>
          <w:rFonts w:ascii="Arial" w:hAnsi="Arial" w:cs="Arial"/>
        </w:rPr>
        <w:t xml:space="preserve">  </w:t>
      </w:r>
      <w:r w:rsidRPr="006A5C36">
        <w:rPr>
          <w:rFonts w:ascii="Arial" w:hAnsi="Arial" w:cs="Arial"/>
        </w:rPr>
        <w:t>P</w:t>
      </w:r>
      <w:r w:rsidR="00BA1E24" w:rsidRPr="006A5C36">
        <w:rPr>
          <w:rFonts w:ascii="Arial" w:hAnsi="Arial" w:cs="Arial"/>
        </w:rPr>
        <w:t xml:space="preserve">rovide all </w:t>
      </w:r>
      <w:r w:rsidR="00111FAC" w:rsidRPr="006A5C36">
        <w:rPr>
          <w:rFonts w:ascii="Arial" w:hAnsi="Arial" w:cs="Arial"/>
        </w:rPr>
        <w:t>customers</w:t>
      </w:r>
      <w:r w:rsidR="00BA1E24" w:rsidRPr="006A5C36">
        <w:rPr>
          <w:rFonts w:ascii="Arial" w:hAnsi="Arial" w:cs="Arial"/>
        </w:rPr>
        <w:t xml:space="preserve">, with service charges, a letter and part 4 notice detailing any </w:t>
      </w:r>
      <w:r>
        <w:rPr>
          <w:rFonts w:ascii="Arial" w:hAnsi="Arial" w:cs="Arial"/>
        </w:rPr>
        <w:t xml:space="preserve"> </w:t>
      </w:r>
    </w:p>
    <w:p w14:paraId="6A8E1CF3" w14:textId="77777777" w:rsidR="006A5C36" w:rsidRDefault="006A5C36" w:rsidP="006A5C36">
      <w:pPr>
        <w:pStyle w:val="ListParagraph"/>
        <w:spacing w:after="0"/>
        <w:rPr>
          <w:rFonts w:ascii="Arial" w:hAnsi="Arial" w:cs="Arial"/>
        </w:rPr>
      </w:pPr>
      <w:r>
        <w:rPr>
          <w:rFonts w:ascii="Arial" w:hAnsi="Arial" w:cs="Arial"/>
        </w:rPr>
        <w:t xml:space="preserve">  </w:t>
      </w:r>
      <w:r w:rsidR="00BA1E24" w:rsidRPr="006A5C36">
        <w:rPr>
          <w:rFonts w:ascii="Arial" w:hAnsi="Arial" w:cs="Arial"/>
        </w:rPr>
        <w:t xml:space="preserve">rent/service charge increase a minimum of 1 calendar month before any change is </w:t>
      </w:r>
      <w:r>
        <w:rPr>
          <w:rFonts w:ascii="Arial" w:hAnsi="Arial" w:cs="Arial"/>
        </w:rPr>
        <w:t xml:space="preserve"> </w:t>
      </w:r>
    </w:p>
    <w:p w14:paraId="68F97EE0" w14:textId="39A9AC16" w:rsidR="00BA1E24" w:rsidRPr="006A5C36" w:rsidRDefault="006A5C36" w:rsidP="006A5C36">
      <w:pPr>
        <w:pStyle w:val="ListParagraph"/>
        <w:spacing w:after="0"/>
        <w:rPr>
          <w:rFonts w:ascii="Arial" w:hAnsi="Arial" w:cs="Arial"/>
        </w:rPr>
      </w:pPr>
      <w:r>
        <w:rPr>
          <w:rFonts w:ascii="Arial" w:hAnsi="Arial" w:cs="Arial"/>
        </w:rPr>
        <w:t xml:space="preserve">  </w:t>
      </w:r>
      <w:r w:rsidR="00BA1E24" w:rsidRPr="006A5C36">
        <w:rPr>
          <w:rFonts w:ascii="Arial" w:hAnsi="Arial" w:cs="Arial"/>
        </w:rPr>
        <w:t>due</w:t>
      </w:r>
      <w:r w:rsidR="00BA30AA">
        <w:rPr>
          <w:rFonts w:ascii="Arial" w:hAnsi="Arial" w:cs="Arial"/>
        </w:rPr>
        <w:t xml:space="preserve"> to their charge</w:t>
      </w:r>
      <w:r w:rsidR="00BA1E24" w:rsidRPr="006A5C36">
        <w:rPr>
          <w:rFonts w:ascii="Arial" w:hAnsi="Arial" w:cs="Arial"/>
        </w:rPr>
        <w:t>.</w:t>
      </w:r>
    </w:p>
    <w:p w14:paraId="46854718" w14:textId="77777777" w:rsidR="006A5C36" w:rsidRDefault="006A5C36" w:rsidP="006A5C36">
      <w:pPr>
        <w:pStyle w:val="ListParagraph"/>
        <w:numPr>
          <w:ilvl w:val="0"/>
          <w:numId w:val="20"/>
        </w:numPr>
        <w:rPr>
          <w:rFonts w:ascii="Arial" w:hAnsi="Arial" w:cs="Arial"/>
        </w:rPr>
      </w:pPr>
      <w:r>
        <w:rPr>
          <w:rFonts w:ascii="Arial" w:hAnsi="Arial" w:cs="Arial"/>
        </w:rPr>
        <w:t xml:space="preserve">  </w:t>
      </w:r>
      <w:r w:rsidR="00BA1E24" w:rsidRPr="006A5C36">
        <w:rPr>
          <w:rFonts w:ascii="Arial" w:hAnsi="Arial" w:cs="Arial"/>
        </w:rPr>
        <w:t xml:space="preserve">Where the actual costs are more or less than were estimated in any one financial </w:t>
      </w:r>
      <w:r>
        <w:rPr>
          <w:rFonts w:ascii="Arial" w:hAnsi="Arial" w:cs="Arial"/>
        </w:rPr>
        <w:t xml:space="preserve"> </w:t>
      </w:r>
    </w:p>
    <w:p w14:paraId="020536E5" w14:textId="77777777" w:rsidR="006A5C36" w:rsidRDefault="006A5C36" w:rsidP="006A5C36">
      <w:pPr>
        <w:pStyle w:val="ListParagraph"/>
        <w:rPr>
          <w:rFonts w:ascii="Arial" w:hAnsi="Arial" w:cs="Arial"/>
        </w:rPr>
      </w:pPr>
      <w:r>
        <w:rPr>
          <w:rFonts w:ascii="Arial" w:hAnsi="Arial" w:cs="Arial"/>
        </w:rPr>
        <w:t xml:space="preserve">  </w:t>
      </w:r>
      <w:r w:rsidR="00BA1E24" w:rsidRPr="006A5C36">
        <w:rPr>
          <w:rFonts w:ascii="Arial" w:hAnsi="Arial" w:cs="Arial"/>
        </w:rPr>
        <w:t xml:space="preserve">year, the costs will be added to or deducted from the next full accounting year’s </w:t>
      </w:r>
      <w:r>
        <w:rPr>
          <w:rFonts w:ascii="Arial" w:hAnsi="Arial" w:cs="Arial"/>
        </w:rPr>
        <w:t xml:space="preserve"> </w:t>
      </w:r>
    </w:p>
    <w:p w14:paraId="1D179422" w14:textId="77777777" w:rsidR="00BA1E24" w:rsidRPr="006A5C36" w:rsidRDefault="006A5C36" w:rsidP="006A5C36">
      <w:pPr>
        <w:pStyle w:val="ListParagraph"/>
        <w:rPr>
          <w:rFonts w:ascii="Arial" w:hAnsi="Arial" w:cs="Arial"/>
        </w:rPr>
      </w:pPr>
      <w:r>
        <w:rPr>
          <w:rFonts w:ascii="Arial" w:hAnsi="Arial" w:cs="Arial"/>
        </w:rPr>
        <w:t xml:space="preserve">  </w:t>
      </w:r>
      <w:r w:rsidR="00BA1E24" w:rsidRPr="006A5C36">
        <w:rPr>
          <w:rFonts w:ascii="Arial" w:hAnsi="Arial" w:cs="Arial"/>
        </w:rPr>
        <w:t xml:space="preserve">charges. </w:t>
      </w:r>
    </w:p>
    <w:p w14:paraId="2C9AA4E3" w14:textId="77777777" w:rsidR="00BA1E24" w:rsidRDefault="00BA1E24" w:rsidP="00BA1E24">
      <w:pPr>
        <w:pStyle w:val="ListParagraph"/>
        <w:numPr>
          <w:ilvl w:val="0"/>
          <w:numId w:val="3"/>
        </w:numPr>
        <w:spacing w:after="0"/>
        <w:ind w:left="851"/>
        <w:rPr>
          <w:rFonts w:ascii="Arial" w:hAnsi="Arial" w:cs="Arial"/>
        </w:rPr>
      </w:pPr>
      <w:r w:rsidRPr="00ED616A">
        <w:rPr>
          <w:rFonts w:ascii="Arial" w:hAnsi="Arial" w:cs="Arial"/>
        </w:rPr>
        <w:t>Provide all tenants who pay service charges a summary of the actual costs within 6 months of the end of the financial year.</w:t>
      </w:r>
    </w:p>
    <w:p w14:paraId="43B45C5A" w14:textId="77777777" w:rsidR="006A5C36" w:rsidRDefault="006A5C36" w:rsidP="00BA1E24">
      <w:pPr>
        <w:pStyle w:val="ListParagraph"/>
        <w:numPr>
          <w:ilvl w:val="0"/>
          <w:numId w:val="3"/>
        </w:numPr>
        <w:spacing w:after="0"/>
        <w:ind w:left="851"/>
        <w:rPr>
          <w:rFonts w:ascii="Arial" w:hAnsi="Arial" w:cs="Arial"/>
        </w:rPr>
      </w:pPr>
      <w:r>
        <w:rPr>
          <w:rFonts w:ascii="Arial" w:hAnsi="Arial" w:cs="Arial"/>
        </w:rPr>
        <w:lastRenderedPageBreak/>
        <w:t>C</w:t>
      </w:r>
      <w:r w:rsidRPr="006A5C36">
        <w:rPr>
          <w:rFonts w:ascii="Arial" w:hAnsi="Arial" w:cs="Arial"/>
        </w:rPr>
        <w:t xml:space="preserve">omply with the clauses in the Landlord and Tenant Act 1985, Section 19. This specifies that relevant costs shall be included when determining the amount of service charges payable; </w:t>
      </w:r>
    </w:p>
    <w:p w14:paraId="7947B1E6" w14:textId="77777777" w:rsidR="00BA1E24" w:rsidRPr="00BA1E24" w:rsidRDefault="00BA1E24" w:rsidP="00BA1E24">
      <w:pPr>
        <w:pStyle w:val="ListParagraph"/>
        <w:numPr>
          <w:ilvl w:val="0"/>
          <w:numId w:val="4"/>
        </w:numPr>
        <w:spacing w:after="0"/>
        <w:rPr>
          <w:rFonts w:ascii="Arial" w:hAnsi="Arial" w:cs="Arial"/>
        </w:rPr>
      </w:pPr>
      <w:r w:rsidRPr="00BA1E24">
        <w:rPr>
          <w:rFonts w:ascii="Arial" w:hAnsi="Arial" w:cs="Arial"/>
        </w:rPr>
        <w:t>Only to the extent they have been reasonably incurred</w:t>
      </w:r>
    </w:p>
    <w:p w14:paraId="4E80B027" w14:textId="77777777" w:rsidR="00BA1E24" w:rsidRPr="00ED616A" w:rsidRDefault="00BA1E24" w:rsidP="00BA1E24">
      <w:pPr>
        <w:pStyle w:val="ListParagraph"/>
        <w:numPr>
          <w:ilvl w:val="0"/>
          <w:numId w:val="4"/>
        </w:numPr>
        <w:spacing w:after="0"/>
        <w:rPr>
          <w:rFonts w:ascii="Arial" w:hAnsi="Arial" w:cs="Arial"/>
        </w:rPr>
      </w:pPr>
      <w:r w:rsidRPr="00ED616A">
        <w:rPr>
          <w:rFonts w:ascii="Arial" w:hAnsi="Arial" w:cs="Arial"/>
        </w:rPr>
        <w:t>Only if the services or works are of a reasonable standard</w:t>
      </w:r>
    </w:p>
    <w:p w14:paraId="39F29BB7" w14:textId="77777777" w:rsidR="00BA1E24" w:rsidRPr="006A5C36" w:rsidRDefault="006A5C36" w:rsidP="006A5C36">
      <w:pPr>
        <w:pStyle w:val="ListParagraph"/>
        <w:numPr>
          <w:ilvl w:val="0"/>
          <w:numId w:val="25"/>
        </w:numPr>
        <w:spacing w:after="0"/>
        <w:rPr>
          <w:rFonts w:ascii="Arial" w:hAnsi="Arial" w:cs="Arial"/>
        </w:rPr>
      </w:pPr>
      <w:r>
        <w:rPr>
          <w:rFonts w:ascii="Arial" w:hAnsi="Arial" w:cs="Arial"/>
        </w:rPr>
        <w:t>If costs have risen significantly,</w:t>
      </w:r>
      <w:r w:rsidR="00BA1E24" w:rsidRPr="006A5C36">
        <w:rPr>
          <w:rFonts w:ascii="Arial" w:hAnsi="Arial" w:cs="Arial"/>
        </w:rPr>
        <w:t xml:space="preserve"> </w:t>
      </w:r>
      <w:r>
        <w:rPr>
          <w:rFonts w:ascii="Arial" w:hAnsi="Arial" w:cs="Arial"/>
        </w:rPr>
        <w:t>r</w:t>
      </w:r>
      <w:r w:rsidR="00BA1E24" w:rsidRPr="006A5C36">
        <w:rPr>
          <w:rFonts w:ascii="Arial" w:hAnsi="Arial" w:cs="Arial"/>
        </w:rPr>
        <w:t xml:space="preserve">eserve the right to not immediately pass on the full extent of such costs increases.  </w:t>
      </w:r>
    </w:p>
    <w:p w14:paraId="2B4C8343" w14:textId="1D9AA20A" w:rsidR="00EE4A64" w:rsidRDefault="00EE4A64" w:rsidP="006A5C36">
      <w:pPr>
        <w:pStyle w:val="ListParagraph"/>
        <w:numPr>
          <w:ilvl w:val="0"/>
          <w:numId w:val="25"/>
        </w:numPr>
        <w:spacing w:after="3" w:line="291" w:lineRule="auto"/>
        <w:jc w:val="left"/>
        <w:rPr>
          <w:rFonts w:ascii="Arial" w:eastAsia="Arial" w:hAnsi="Arial" w:cs="Arial"/>
          <w:color w:val="000000" w:themeColor="text1"/>
          <w:lang w:eastAsia="en-GB"/>
        </w:rPr>
      </w:pPr>
      <w:r w:rsidRPr="006A5C36">
        <w:rPr>
          <w:rFonts w:ascii="Arial" w:eastAsia="Arial" w:hAnsi="Arial" w:cs="Arial"/>
          <w:color w:val="000000" w:themeColor="text1"/>
          <w:lang w:eastAsia="en-GB"/>
        </w:rPr>
        <w:t xml:space="preserve">Where tenants are dissatisfied with either the cost or level of services received </w:t>
      </w:r>
      <w:r w:rsidR="00B63AC5">
        <w:rPr>
          <w:rFonts w:ascii="Arial" w:eastAsia="Arial" w:hAnsi="Arial" w:cs="Arial"/>
          <w:color w:val="000000" w:themeColor="text1"/>
          <w:lang w:eastAsia="en-GB"/>
        </w:rPr>
        <w:t>direct them to W</w:t>
      </w:r>
      <w:r w:rsidRPr="006A5C36">
        <w:rPr>
          <w:rFonts w:ascii="Arial" w:eastAsia="Arial" w:hAnsi="Arial" w:cs="Arial"/>
          <w:color w:val="000000" w:themeColor="text1"/>
          <w:lang w:eastAsia="en-GB"/>
        </w:rPr>
        <w:t>CHG’s complaints policy</w:t>
      </w:r>
      <w:r w:rsidR="000964C9">
        <w:rPr>
          <w:rFonts w:ascii="Arial" w:eastAsia="Arial" w:hAnsi="Arial" w:cs="Arial"/>
          <w:color w:val="000000" w:themeColor="text1"/>
          <w:lang w:eastAsia="en-GB"/>
        </w:rPr>
        <w:t xml:space="preserve"> or where relevant First-tier Tribunal</w:t>
      </w:r>
      <w:r w:rsidRPr="006A5C36">
        <w:rPr>
          <w:rFonts w:ascii="Arial" w:eastAsia="Arial" w:hAnsi="Arial" w:cs="Arial"/>
          <w:color w:val="000000" w:themeColor="text1"/>
          <w:lang w:eastAsia="en-GB"/>
        </w:rPr>
        <w:t>.</w:t>
      </w:r>
    </w:p>
    <w:p w14:paraId="50470F81" w14:textId="7BCA1D4A" w:rsidR="00035F8E" w:rsidRPr="006A5C36" w:rsidRDefault="00035F8E" w:rsidP="006A5C36">
      <w:pPr>
        <w:pStyle w:val="ListParagraph"/>
        <w:numPr>
          <w:ilvl w:val="0"/>
          <w:numId w:val="25"/>
        </w:numPr>
        <w:spacing w:after="3" w:line="291" w:lineRule="auto"/>
        <w:jc w:val="left"/>
        <w:rPr>
          <w:rFonts w:ascii="Arial" w:eastAsia="Arial" w:hAnsi="Arial" w:cs="Arial"/>
          <w:color w:val="000000" w:themeColor="text1"/>
          <w:lang w:eastAsia="en-GB"/>
        </w:rPr>
      </w:pPr>
      <w:r>
        <w:rPr>
          <w:rFonts w:ascii="Arial" w:eastAsia="Arial" w:hAnsi="Arial" w:cs="Arial"/>
          <w:color w:val="000000" w:themeColor="text1"/>
          <w:lang w:eastAsia="en-GB"/>
        </w:rPr>
        <w:t xml:space="preserve">Ensure WCHG complies with the relevant parts of the </w:t>
      </w:r>
      <w:r w:rsidR="00B02A6F">
        <w:rPr>
          <w:rFonts w:ascii="Arial" w:eastAsia="Arial" w:hAnsi="Arial" w:cs="Arial"/>
          <w:color w:val="000000" w:themeColor="text1"/>
          <w:lang w:eastAsia="en-GB"/>
        </w:rPr>
        <w:t>Regulator of social housing Tenant satisfaction measures requirements</w:t>
      </w:r>
    </w:p>
    <w:p w14:paraId="31547BA1" w14:textId="77777777" w:rsidR="00111FAC" w:rsidRDefault="00111FAC" w:rsidP="00EA666A">
      <w:pPr>
        <w:spacing w:after="3" w:line="291" w:lineRule="auto"/>
        <w:ind w:left="-5" w:hanging="10"/>
        <w:jc w:val="left"/>
        <w:rPr>
          <w:rFonts w:ascii="Arial" w:eastAsia="Arial" w:hAnsi="Arial" w:cs="Arial"/>
          <w:color w:val="000000" w:themeColor="text1"/>
          <w:lang w:eastAsia="en-GB"/>
        </w:rPr>
      </w:pPr>
    </w:p>
    <w:p w14:paraId="1117A49C" w14:textId="77777777" w:rsidR="000241DF" w:rsidRPr="000241DF" w:rsidRDefault="00CC67AA" w:rsidP="000241DF">
      <w:pPr>
        <w:spacing w:after="0" w:line="259" w:lineRule="auto"/>
        <w:ind w:left="0"/>
        <w:rPr>
          <w:rFonts w:ascii="Arial" w:eastAsiaTheme="minorHAnsi" w:hAnsi="Arial" w:cs="Arial"/>
          <w:b/>
          <w:bCs/>
          <w:lang w:eastAsia="en-GB"/>
        </w:rPr>
      </w:pPr>
      <w:r>
        <w:rPr>
          <w:rFonts w:ascii="Arial" w:eastAsiaTheme="minorHAnsi" w:hAnsi="Arial" w:cs="Arial"/>
          <w:b/>
          <w:bCs/>
          <w:lang w:eastAsia="en-GB"/>
        </w:rPr>
        <w:t xml:space="preserve">2.1 </w:t>
      </w:r>
      <w:r w:rsidR="000241DF" w:rsidRPr="000241DF">
        <w:rPr>
          <w:rFonts w:ascii="Arial" w:eastAsiaTheme="minorHAnsi" w:hAnsi="Arial" w:cs="Arial"/>
          <w:b/>
          <w:bCs/>
          <w:lang w:eastAsia="en-GB"/>
        </w:rPr>
        <w:t>Reasonableness</w:t>
      </w:r>
    </w:p>
    <w:p w14:paraId="5312B556" w14:textId="77777777" w:rsidR="000241DF" w:rsidRPr="000241DF" w:rsidRDefault="000241DF" w:rsidP="000241DF">
      <w:pPr>
        <w:spacing w:after="0" w:line="259" w:lineRule="auto"/>
        <w:ind w:left="0"/>
        <w:rPr>
          <w:rFonts w:ascii="Arial" w:eastAsiaTheme="minorHAnsi" w:hAnsi="Arial" w:cs="Arial"/>
          <w:u w:val="single"/>
          <w:lang w:eastAsia="en-GB"/>
        </w:rPr>
      </w:pPr>
    </w:p>
    <w:p w14:paraId="0FC374B8" w14:textId="77777777" w:rsidR="000241DF" w:rsidRPr="000241DF" w:rsidRDefault="00AD5B2F" w:rsidP="000241DF">
      <w:pPr>
        <w:spacing w:after="0" w:line="259" w:lineRule="auto"/>
        <w:ind w:left="0"/>
        <w:rPr>
          <w:rFonts w:ascii="Arial" w:eastAsiaTheme="minorHAnsi" w:hAnsi="Arial" w:cs="Arial"/>
          <w:lang w:eastAsia="en-GB"/>
        </w:rPr>
      </w:pPr>
      <w:r>
        <w:rPr>
          <w:rFonts w:ascii="Arial" w:eastAsiaTheme="minorHAnsi" w:hAnsi="Arial" w:cs="Arial"/>
          <w:lang w:eastAsia="en-GB"/>
        </w:rPr>
        <w:t>WCHG</w:t>
      </w:r>
      <w:r w:rsidR="000241DF" w:rsidRPr="000241DF">
        <w:rPr>
          <w:rFonts w:ascii="Arial" w:eastAsiaTheme="minorHAnsi" w:hAnsi="Arial" w:cs="Arial"/>
          <w:lang w:eastAsia="en-GB"/>
        </w:rPr>
        <w:t xml:space="preserve"> acknowledges the need for reasonable and fair service charges as stated under section 19 of the Landlord and Tenants Act 1985.  There are three elements to this test of reasonableness:</w:t>
      </w:r>
    </w:p>
    <w:p w14:paraId="58616D77" w14:textId="77777777" w:rsidR="000241DF" w:rsidRPr="000241DF" w:rsidRDefault="000241DF" w:rsidP="000241DF">
      <w:pPr>
        <w:numPr>
          <w:ilvl w:val="0"/>
          <w:numId w:val="33"/>
        </w:numPr>
        <w:spacing w:after="0" w:line="259" w:lineRule="auto"/>
        <w:contextualSpacing/>
        <w:jc w:val="left"/>
        <w:rPr>
          <w:rFonts w:ascii="Arial" w:eastAsiaTheme="minorHAnsi" w:hAnsi="Arial" w:cs="Arial"/>
        </w:rPr>
      </w:pPr>
      <w:r w:rsidRPr="000241DF">
        <w:rPr>
          <w:rFonts w:ascii="Arial" w:eastAsiaTheme="minorHAnsi" w:hAnsi="Arial" w:cs="Arial"/>
        </w:rPr>
        <w:t>The costs should be fair and reasonable.</w:t>
      </w:r>
    </w:p>
    <w:p w14:paraId="2CB15808" w14:textId="77777777" w:rsidR="000241DF" w:rsidRPr="000241DF" w:rsidRDefault="000241DF" w:rsidP="000241DF">
      <w:pPr>
        <w:numPr>
          <w:ilvl w:val="0"/>
          <w:numId w:val="33"/>
        </w:numPr>
        <w:spacing w:after="0" w:line="259" w:lineRule="auto"/>
        <w:contextualSpacing/>
        <w:jc w:val="left"/>
        <w:rPr>
          <w:rFonts w:ascii="Arial" w:eastAsiaTheme="minorHAnsi" w:hAnsi="Arial" w:cs="Arial"/>
        </w:rPr>
      </w:pPr>
      <w:r w:rsidRPr="000241DF">
        <w:rPr>
          <w:rFonts w:ascii="Arial" w:eastAsiaTheme="minorHAnsi" w:hAnsi="Arial" w:cs="Arial"/>
        </w:rPr>
        <w:t>The provision of the services and/or works is fair and reasonable.</w:t>
      </w:r>
    </w:p>
    <w:p w14:paraId="2A8AF0AB" w14:textId="77777777" w:rsidR="000241DF" w:rsidRPr="000241DF" w:rsidRDefault="000241DF" w:rsidP="000241DF">
      <w:pPr>
        <w:numPr>
          <w:ilvl w:val="0"/>
          <w:numId w:val="33"/>
        </w:numPr>
        <w:spacing w:after="0" w:line="259" w:lineRule="auto"/>
        <w:contextualSpacing/>
        <w:jc w:val="left"/>
        <w:rPr>
          <w:rFonts w:ascii="Arial" w:eastAsiaTheme="minorHAnsi" w:hAnsi="Arial" w:cs="Arial"/>
        </w:rPr>
      </w:pPr>
      <w:r w:rsidRPr="000241DF">
        <w:rPr>
          <w:rFonts w:ascii="Arial" w:eastAsiaTheme="minorHAnsi" w:hAnsi="Arial" w:cs="Arial"/>
        </w:rPr>
        <w:t>The services and/or works are of a reasonable standard.</w:t>
      </w:r>
      <w:r w:rsidRPr="000241DF">
        <w:rPr>
          <w:rFonts w:ascii="Arial" w:eastAsiaTheme="minorHAnsi" w:hAnsi="Arial" w:cs="Arial"/>
          <w:lang w:eastAsia="en-GB"/>
        </w:rPr>
        <w:t xml:space="preserve">  </w:t>
      </w:r>
    </w:p>
    <w:p w14:paraId="2F3F87B8" w14:textId="77777777" w:rsidR="000241DF" w:rsidRPr="000241DF" w:rsidRDefault="000241DF" w:rsidP="000241DF">
      <w:pPr>
        <w:spacing w:after="160" w:line="259" w:lineRule="auto"/>
        <w:ind w:left="0"/>
        <w:jc w:val="left"/>
        <w:rPr>
          <w:rFonts w:ascii="Arial" w:eastAsiaTheme="minorHAnsi" w:hAnsi="Arial" w:cs="Arial"/>
          <w:lang w:eastAsia="en-GB"/>
        </w:rPr>
      </w:pPr>
    </w:p>
    <w:p w14:paraId="33466F24" w14:textId="77777777" w:rsidR="000241DF" w:rsidRPr="000241DF" w:rsidRDefault="00CC67AA" w:rsidP="000241DF">
      <w:pPr>
        <w:spacing w:after="0" w:line="259" w:lineRule="auto"/>
        <w:ind w:left="0"/>
        <w:jc w:val="left"/>
        <w:rPr>
          <w:rFonts w:ascii="Arial" w:eastAsiaTheme="minorHAnsi" w:hAnsi="Arial" w:cs="Arial"/>
          <w:b/>
          <w:bCs/>
          <w:lang w:eastAsia="en-GB"/>
        </w:rPr>
      </w:pPr>
      <w:r>
        <w:rPr>
          <w:rFonts w:ascii="Arial" w:eastAsiaTheme="minorHAnsi" w:hAnsi="Arial" w:cs="Arial"/>
          <w:b/>
          <w:bCs/>
          <w:lang w:eastAsia="en-GB"/>
        </w:rPr>
        <w:t xml:space="preserve">2.2 </w:t>
      </w:r>
      <w:r w:rsidR="000241DF" w:rsidRPr="000241DF">
        <w:rPr>
          <w:rFonts w:ascii="Arial" w:eastAsiaTheme="minorHAnsi" w:hAnsi="Arial" w:cs="Arial"/>
          <w:b/>
          <w:bCs/>
          <w:lang w:eastAsia="en-GB"/>
        </w:rPr>
        <w:t>How we decide on the services delivered</w:t>
      </w:r>
    </w:p>
    <w:p w14:paraId="302294FE" w14:textId="77777777" w:rsidR="000241DF" w:rsidRPr="000241DF" w:rsidRDefault="000241DF" w:rsidP="000241DF">
      <w:pPr>
        <w:spacing w:after="0" w:line="259" w:lineRule="auto"/>
        <w:ind w:left="0"/>
        <w:jc w:val="left"/>
        <w:rPr>
          <w:rFonts w:ascii="Arial" w:eastAsiaTheme="minorHAnsi" w:hAnsi="Arial" w:cs="Arial"/>
          <w:b/>
          <w:bCs/>
          <w:lang w:eastAsia="en-GB"/>
        </w:rPr>
      </w:pPr>
    </w:p>
    <w:p w14:paraId="39BA90BE" w14:textId="215544B9" w:rsidR="000241DF" w:rsidRPr="000241DF" w:rsidRDefault="000241DF" w:rsidP="000241DF">
      <w:pPr>
        <w:spacing w:after="0" w:line="259" w:lineRule="auto"/>
        <w:ind w:left="0"/>
        <w:rPr>
          <w:rFonts w:ascii="Arial" w:eastAsiaTheme="minorHAnsi" w:hAnsi="Arial" w:cs="Arial"/>
          <w:lang w:eastAsia="en-GB"/>
        </w:rPr>
      </w:pPr>
      <w:r w:rsidRPr="000241DF">
        <w:rPr>
          <w:rFonts w:ascii="Arial" w:eastAsiaTheme="minorHAnsi" w:hAnsi="Arial" w:cs="Arial"/>
          <w:lang w:eastAsia="en-GB"/>
        </w:rPr>
        <w:t>The services provided within a scheme</w:t>
      </w:r>
      <w:r w:rsidR="0012544F">
        <w:rPr>
          <w:rFonts w:ascii="Arial" w:eastAsiaTheme="minorHAnsi" w:hAnsi="Arial" w:cs="Arial"/>
          <w:lang w:eastAsia="en-GB"/>
        </w:rPr>
        <w:t xml:space="preserve"> (residential area or block)</w:t>
      </w:r>
      <w:r w:rsidRPr="000241DF">
        <w:rPr>
          <w:rFonts w:ascii="Arial" w:eastAsiaTheme="minorHAnsi" w:hAnsi="Arial" w:cs="Arial"/>
          <w:lang w:eastAsia="en-GB"/>
        </w:rPr>
        <w:t xml:space="preserve"> are defined by the </w:t>
      </w:r>
      <w:r w:rsidR="00AD5B2F">
        <w:rPr>
          <w:rFonts w:ascii="Arial" w:eastAsiaTheme="minorHAnsi" w:hAnsi="Arial" w:cs="Arial"/>
          <w:lang w:eastAsia="en-GB"/>
        </w:rPr>
        <w:t xml:space="preserve">Executive </w:t>
      </w:r>
      <w:r w:rsidRPr="000241DF">
        <w:rPr>
          <w:rFonts w:ascii="Arial" w:eastAsiaTheme="minorHAnsi" w:hAnsi="Arial" w:cs="Arial"/>
          <w:lang w:eastAsia="en-GB"/>
        </w:rPr>
        <w:t xml:space="preserve">Director of Assets in consultation with the </w:t>
      </w:r>
      <w:r w:rsidR="00AD5B2F">
        <w:rPr>
          <w:rFonts w:ascii="Arial" w:eastAsiaTheme="minorHAnsi" w:hAnsi="Arial" w:cs="Arial"/>
          <w:lang w:eastAsia="en-GB"/>
        </w:rPr>
        <w:t>Executive Director of Customers &amp; Communities</w:t>
      </w:r>
      <w:r w:rsidRPr="000241DF">
        <w:rPr>
          <w:rFonts w:ascii="Arial" w:eastAsiaTheme="minorHAnsi" w:hAnsi="Arial" w:cs="Arial"/>
          <w:lang w:eastAsia="en-GB"/>
        </w:rPr>
        <w:t xml:space="preserve"> and </w:t>
      </w:r>
      <w:r w:rsidR="004B7E86">
        <w:rPr>
          <w:rFonts w:ascii="Arial" w:eastAsiaTheme="minorHAnsi" w:hAnsi="Arial" w:cs="Arial"/>
          <w:lang w:eastAsia="en-GB"/>
        </w:rPr>
        <w:t xml:space="preserve">the associated costs included in the service charges </w:t>
      </w:r>
      <w:r w:rsidRPr="000241DF">
        <w:rPr>
          <w:rFonts w:ascii="Arial" w:eastAsiaTheme="minorHAnsi" w:hAnsi="Arial" w:cs="Arial"/>
          <w:lang w:eastAsia="en-GB"/>
        </w:rPr>
        <w:t>are reviewed on an annual basis as part of the budgeting process.  The services delivered will normally include:</w:t>
      </w:r>
    </w:p>
    <w:p w14:paraId="454F92E7" w14:textId="77777777" w:rsidR="000241DF" w:rsidRPr="000241DF" w:rsidRDefault="000241DF" w:rsidP="000241DF">
      <w:pPr>
        <w:spacing w:after="0" w:line="259" w:lineRule="auto"/>
        <w:ind w:left="0"/>
        <w:rPr>
          <w:rFonts w:ascii="Arial" w:eastAsiaTheme="minorHAnsi" w:hAnsi="Arial" w:cs="Arial"/>
          <w:lang w:eastAsia="en-GB"/>
        </w:rPr>
      </w:pPr>
    </w:p>
    <w:p w14:paraId="18C38582" w14:textId="7CE73239" w:rsidR="000241DF" w:rsidRPr="000241DF" w:rsidRDefault="000241DF" w:rsidP="000241DF">
      <w:pPr>
        <w:numPr>
          <w:ilvl w:val="0"/>
          <w:numId w:val="34"/>
        </w:numPr>
        <w:spacing w:after="0" w:line="259" w:lineRule="auto"/>
        <w:contextualSpacing/>
        <w:jc w:val="left"/>
        <w:rPr>
          <w:rFonts w:ascii="Arial" w:eastAsiaTheme="minorHAnsi" w:hAnsi="Arial" w:cs="Arial"/>
        </w:rPr>
      </w:pPr>
      <w:r w:rsidRPr="000241DF">
        <w:rPr>
          <w:rFonts w:ascii="Arial" w:eastAsiaTheme="minorHAnsi" w:hAnsi="Arial" w:cs="Arial"/>
        </w:rPr>
        <w:t>Statutory services to ensure compliance with</w:t>
      </w:r>
      <w:r w:rsidR="0012544F">
        <w:rPr>
          <w:rFonts w:ascii="Arial" w:eastAsiaTheme="minorHAnsi" w:hAnsi="Arial" w:cs="Arial"/>
        </w:rPr>
        <w:t xml:space="preserve"> Health &amp; Safety, building safety</w:t>
      </w:r>
      <w:r w:rsidRPr="000241DF">
        <w:rPr>
          <w:rFonts w:ascii="Arial" w:eastAsiaTheme="minorHAnsi" w:hAnsi="Arial" w:cs="Arial"/>
        </w:rPr>
        <w:t xml:space="preserve"> </w:t>
      </w:r>
      <w:r w:rsidR="0012544F">
        <w:rPr>
          <w:rFonts w:ascii="Arial" w:eastAsiaTheme="minorHAnsi" w:hAnsi="Arial" w:cs="Arial"/>
        </w:rPr>
        <w:t xml:space="preserve">including </w:t>
      </w:r>
      <w:r w:rsidRPr="000241DF">
        <w:rPr>
          <w:rFonts w:ascii="Arial" w:eastAsiaTheme="minorHAnsi" w:hAnsi="Arial" w:cs="Arial"/>
        </w:rPr>
        <w:t>statutory testing and maintenance legislation.</w:t>
      </w:r>
    </w:p>
    <w:p w14:paraId="1FE57AAF" w14:textId="30E1D131" w:rsidR="000241DF" w:rsidRPr="000241DF" w:rsidRDefault="000241DF" w:rsidP="000241DF">
      <w:pPr>
        <w:numPr>
          <w:ilvl w:val="0"/>
          <w:numId w:val="34"/>
        </w:numPr>
        <w:spacing w:after="0" w:line="259" w:lineRule="auto"/>
        <w:contextualSpacing/>
        <w:jc w:val="left"/>
        <w:rPr>
          <w:rFonts w:ascii="Arial" w:eastAsiaTheme="minorHAnsi" w:hAnsi="Arial" w:cs="Arial"/>
        </w:rPr>
      </w:pPr>
      <w:r w:rsidRPr="000241DF">
        <w:rPr>
          <w:rFonts w:ascii="Arial" w:eastAsiaTheme="minorHAnsi" w:hAnsi="Arial" w:cs="Arial"/>
        </w:rPr>
        <w:t>Essential services to ensure homes</w:t>
      </w:r>
      <w:r w:rsidR="0012544F">
        <w:rPr>
          <w:rFonts w:ascii="Arial" w:eastAsiaTheme="minorHAnsi" w:hAnsi="Arial" w:cs="Arial"/>
        </w:rPr>
        <w:t xml:space="preserve"> and common parts</w:t>
      </w:r>
      <w:r w:rsidRPr="000241DF">
        <w:rPr>
          <w:rFonts w:ascii="Arial" w:eastAsiaTheme="minorHAnsi" w:hAnsi="Arial" w:cs="Arial"/>
        </w:rPr>
        <w:t xml:space="preserve"> are maintained, such as cleaning and maintenance of communal areas and grounds maintenance.</w:t>
      </w:r>
    </w:p>
    <w:p w14:paraId="41A056BA" w14:textId="77777777" w:rsidR="000241DF" w:rsidRPr="000241DF" w:rsidRDefault="000241DF" w:rsidP="000241DF">
      <w:pPr>
        <w:numPr>
          <w:ilvl w:val="0"/>
          <w:numId w:val="34"/>
        </w:numPr>
        <w:spacing w:after="0" w:line="259" w:lineRule="auto"/>
        <w:contextualSpacing/>
        <w:jc w:val="left"/>
        <w:rPr>
          <w:rFonts w:ascii="Arial" w:eastAsiaTheme="minorHAnsi" w:hAnsi="Arial" w:cs="Arial"/>
        </w:rPr>
      </w:pPr>
      <w:r w:rsidRPr="000241DF">
        <w:rPr>
          <w:rFonts w:ascii="Arial" w:eastAsiaTheme="minorHAnsi" w:hAnsi="Arial" w:cs="Arial"/>
        </w:rPr>
        <w:t>Discretionary services where there is an agreement in place to provide these.</w:t>
      </w:r>
    </w:p>
    <w:p w14:paraId="3F2BFE87" w14:textId="77777777" w:rsidR="000241DF" w:rsidRPr="000241DF" w:rsidRDefault="000241DF" w:rsidP="000241DF">
      <w:pPr>
        <w:spacing w:after="0" w:line="259" w:lineRule="auto"/>
        <w:contextualSpacing/>
        <w:jc w:val="left"/>
        <w:rPr>
          <w:rFonts w:ascii="Arial" w:eastAsiaTheme="minorHAnsi" w:hAnsi="Arial" w:cs="Arial"/>
        </w:rPr>
      </w:pPr>
    </w:p>
    <w:p w14:paraId="15D05C89" w14:textId="77777777" w:rsidR="000241DF" w:rsidRPr="000241DF" w:rsidRDefault="000241DF" w:rsidP="000241DF">
      <w:pPr>
        <w:spacing w:after="160" w:line="259" w:lineRule="auto"/>
        <w:ind w:left="0"/>
        <w:rPr>
          <w:rFonts w:ascii="Arial" w:eastAsiaTheme="minorHAnsi" w:hAnsi="Arial" w:cs="Arial"/>
          <w:lang w:eastAsia="en-GB"/>
        </w:rPr>
      </w:pPr>
      <w:r w:rsidRPr="000241DF">
        <w:rPr>
          <w:rFonts w:ascii="Arial" w:eastAsiaTheme="minorHAnsi" w:hAnsi="Arial" w:cs="Arial"/>
        </w:rPr>
        <w:t>The costs will be separately identified and budgeted for each element of the service.  Services can only be charged through the service charge where the agreement provides for this.  If there is a proposed change to the services, relevant residents will be consulted, and the procedure set out in the agreement followed to allow for variation in the service.</w:t>
      </w:r>
      <w:r w:rsidRPr="000241DF">
        <w:rPr>
          <w:rFonts w:ascii="Arial" w:eastAsiaTheme="minorHAnsi" w:hAnsi="Arial" w:cs="Arial"/>
          <w:lang w:eastAsia="en-GB"/>
        </w:rPr>
        <w:tab/>
      </w:r>
    </w:p>
    <w:p w14:paraId="757A9EED" w14:textId="77777777" w:rsidR="00E81F8B" w:rsidRPr="00CC67AA" w:rsidRDefault="00E81F8B" w:rsidP="00EA666A">
      <w:pPr>
        <w:spacing w:after="3" w:line="291" w:lineRule="auto"/>
        <w:ind w:left="-5" w:hanging="10"/>
        <w:jc w:val="left"/>
        <w:rPr>
          <w:rFonts w:ascii="Arial" w:eastAsia="Arial" w:hAnsi="Arial" w:cs="Arial"/>
          <w:b/>
          <w:color w:val="000000" w:themeColor="text1"/>
          <w:lang w:eastAsia="en-GB"/>
        </w:rPr>
      </w:pPr>
    </w:p>
    <w:p w14:paraId="7C2FDBE9" w14:textId="77777777" w:rsidR="00111FAC" w:rsidRPr="00CC67AA" w:rsidRDefault="00111FAC" w:rsidP="00EA666A">
      <w:pPr>
        <w:spacing w:after="3" w:line="291" w:lineRule="auto"/>
        <w:ind w:left="-5" w:hanging="10"/>
        <w:jc w:val="left"/>
        <w:rPr>
          <w:rFonts w:ascii="Arial" w:eastAsia="Arial" w:hAnsi="Arial" w:cs="Arial"/>
          <w:b/>
          <w:color w:val="000000" w:themeColor="text1"/>
          <w:lang w:eastAsia="en-GB"/>
        </w:rPr>
      </w:pPr>
      <w:r w:rsidRPr="00CC67AA">
        <w:rPr>
          <w:rFonts w:ascii="Arial" w:eastAsia="Arial" w:hAnsi="Arial" w:cs="Arial"/>
          <w:b/>
          <w:color w:val="000000" w:themeColor="text1"/>
          <w:lang w:eastAsia="en-GB"/>
        </w:rPr>
        <w:t>3.0 Scope</w:t>
      </w:r>
    </w:p>
    <w:p w14:paraId="5314768D" w14:textId="77777777" w:rsidR="00111FAC" w:rsidRPr="00CC67AA" w:rsidRDefault="00111FAC" w:rsidP="00EA666A">
      <w:pPr>
        <w:spacing w:after="3" w:line="291" w:lineRule="auto"/>
        <w:ind w:left="-5" w:hanging="10"/>
        <w:jc w:val="left"/>
        <w:rPr>
          <w:rFonts w:ascii="Arial" w:eastAsia="Arial" w:hAnsi="Arial" w:cs="Arial"/>
          <w:color w:val="000000" w:themeColor="text1"/>
          <w:lang w:eastAsia="en-GB"/>
        </w:rPr>
      </w:pPr>
    </w:p>
    <w:p w14:paraId="5314D145" w14:textId="3CD45EA4" w:rsidR="00111FAC" w:rsidRPr="00CC67AA" w:rsidRDefault="00111FAC" w:rsidP="00111FAC">
      <w:pPr>
        <w:spacing w:after="0"/>
        <w:ind w:left="0"/>
        <w:rPr>
          <w:rFonts w:ascii="Arial" w:eastAsia="Times New Roman" w:hAnsi="Arial" w:cs="Arial"/>
          <w:lang w:eastAsia="en-GB"/>
        </w:rPr>
      </w:pPr>
      <w:r w:rsidRPr="00CC67AA">
        <w:rPr>
          <w:rFonts w:ascii="Arial" w:eastAsia="Times New Roman" w:hAnsi="Arial" w:cs="Arial"/>
          <w:lang w:eastAsia="en-GB"/>
        </w:rPr>
        <w:t>This policy applies to all WCHG customers who benefit from chargeable services provided in connection with their occupation of their home</w:t>
      </w:r>
      <w:r w:rsidR="000005B5">
        <w:rPr>
          <w:rFonts w:ascii="Arial" w:eastAsia="Times New Roman" w:hAnsi="Arial" w:cs="Arial"/>
          <w:lang w:eastAsia="en-GB"/>
        </w:rPr>
        <w:t xml:space="preserve"> and common parts</w:t>
      </w:r>
      <w:r w:rsidRPr="00CC67AA">
        <w:rPr>
          <w:rFonts w:ascii="Arial" w:eastAsia="Times New Roman" w:hAnsi="Arial" w:cs="Arial"/>
          <w:lang w:eastAsia="en-GB"/>
        </w:rPr>
        <w:t>.</w:t>
      </w:r>
    </w:p>
    <w:p w14:paraId="60AD19EF" w14:textId="77777777" w:rsidR="006A5C36" w:rsidRPr="00CC67AA" w:rsidRDefault="006A5C36" w:rsidP="00111FAC">
      <w:pPr>
        <w:spacing w:after="0"/>
        <w:ind w:left="0"/>
        <w:rPr>
          <w:rFonts w:ascii="Arial" w:eastAsia="Times New Roman" w:hAnsi="Arial" w:cs="Arial"/>
          <w:lang w:eastAsia="en-GB"/>
        </w:rPr>
      </w:pPr>
    </w:p>
    <w:p w14:paraId="6BC8C5CE" w14:textId="77777777" w:rsidR="006A5C36" w:rsidRPr="00CC67AA" w:rsidRDefault="006A5C36" w:rsidP="006A5C36">
      <w:pPr>
        <w:spacing w:after="0"/>
        <w:ind w:left="60"/>
        <w:textAlignment w:val="baseline"/>
        <w:rPr>
          <w:rFonts w:ascii="Arial" w:eastAsia="Times New Roman" w:hAnsi="Arial" w:cs="Arial"/>
          <w:lang w:eastAsia="en-GB"/>
        </w:rPr>
      </w:pPr>
      <w:r w:rsidRPr="00CC67AA">
        <w:rPr>
          <w:rFonts w:ascii="Arial" w:eastAsia="Times New Roman" w:hAnsi="Arial" w:cs="Arial"/>
          <w:lang w:eastAsia="en-GB"/>
        </w:rPr>
        <w:t>It applies to both fixed and variable charges across all tenure types including: </w:t>
      </w:r>
    </w:p>
    <w:p w14:paraId="105963D4" w14:textId="77777777" w:rsidR="006A5C36" w:rsidRPr="00CC67AA" w:rsidRDefault="006A5C36" w:rsidP="006A5C36">
      <w:pPr>
        <w:numPr>
          <w:ilvl w:val="0"/>
          <w:numId w:val="21"/>
        </w:numPr>
        <w:spacing w:after="0"/>
        <w:ind w:left="420" w:firstLine="0"/>
        <w:jc w:val="left"/>
        <w:textAlignment w:val="baseline"/>
        <w:rPr>
          <w:rFonts w:ascii="Arial" w:eastAsia="Times New Roman" w:hAnsi="Arial" w:cs="Arial"/>
          <w:lang w:eastAsia="en-GB"/>
        </w:rPr>
      </w:pPr>
      <w:r w:rsidRPr="00CC67AA">
        <w:rPr>
          <w:rFonts w:ascii="Arial" w:eastAsia="Times New Roman" w:hAnsi="Arial" w:cs="Arial"/>
          <w:lang w:eastAsia="en-GB"/>
        </w:rPr>
        <w:t>Rented </w:t>
      </w:r>
    </w:p>
    <w:p w14:paraId="50577662" w14:textId="77777777" w:rsidR="006A5C36" w:rsidRPr="00CC67AA" w:rsidRDefault="006A5C36" w:rsidP="006A5C36">
      <w:pPr>
        <w:numPr>
          <w:ilvl w:val="0"/>
          <w:numId w:val="22"/>
        </w:numPr>
        <w:spacing w:after="0"/>
        <w:ind w:left="420" w:firstLine="0"/>
        <w:jc w:val="left"/>
        <w:textAlignment w:val="baseline"/>
        <w:rPr>
          <w:rFonts w:ascii="Arial" w:eastAsia="Times New Roman" w:hAnsi="Arial" w:cs="Arial"/>
          <w:lang w:eastAsia="en-GB"/>
        </w:rPr>
      </w:pPr>
      <w:r w:rsidRPr="00CC67AA">
        <w:rPr>
          <w:rFonts w:ascii="Arial" w:eastAsia="Times New Roman" w:hAnsi="Arial" w:cs="Arial"/>
          <w:lang w:eastAsia="en-GB"/>
        </w:rPr>
        <w:t>Shared Ownership </w:t>
      </w:r>
    </w:p>
    <w:p w14:paraId="46657A8C" w14:textId="383F4BEB" w:rsidR="006A5C36" w:rsidRDefault="006A5C36" w:rsidP="006A5C36">
      <w:pPr>
        <w:numPr>
          <w:ilvl w:val="0"/>
          <w:numId w:val="23"/>
        </w:numPr>
        <w:spacing w:after="0"/>
        <w:ind w:left="420" w:firstLine="0"/>
        <w:jc w:val="left"/>
        <w:textAlignment w:val="baseline"/>
        <w:rPr>
          <w:rFonts w:ascii="Arial" w:eastAsia="Times New Roman" w:hAnsi="Arial" w:cs="Arial"/>
          <w:lang w:eastAsia="en-GB"/>
        </w:rPr>
      </w:pPr>
      <w:r w:rsidRPr="00CC67AA">
        <w:rPr>
          <w:rFonts w:ascii="Arial" w:eastAsia="Times New Roman" w:hAnsi="Arial" w:cs="Arial"/>
          <w:lang w:eastAsia="en-GB"/>
        </w:rPr>
        <w:t>Leasehold homes </w:t>
      </w:r>
    </w:p>
    <w:p w14:paraId="6F504438" w14:textId="3FF481FD" w:rsidR="00397C00" w:rsidRPr="00CC67AA" w:rsidRDefault="00397C00" w:rsidP="006A5C36">
      <w:pPr>
        <w:numPr>
          <w:ilvl w:val="0"/>
          <w:numId w:val="23"/>
        </w:numPr>
        <w:spacing w:after="0"/>
        <w:ind w:left="420" w:firstLine="0"/>
        <w:jc w:val="left"/>
        <w:textAlignment w:val="baseline"/>
        <w:rPr>
          <w:rFonts w:ascii="Arial" w:eastAsia="Times New Roman" w:hAnsi="Arial" w:cs="Arial"/>
          <w:lang w:eastAsia="en-GB"/>
        </w:rPr>
      </w:pPr>
      <w:r>
        <w:rPr>
          <w:rFonts w:ascii="Arial" w:eastAsia="Times New Roman" w:hAnsi="Arial" w:cs="Arial"/>
          <w:lang w:eastAsia="en-GB"/>
        </w:rPr>
        <w:t>Managing Agent/Supported Housing</w:t>
      </w:r>
    </w:p>
    <w:p w14:paraId="3E1B2ABF" w14:textId="77777777" w:rsidR="006A5C36" w:rsidRPr="00CC67AA" w:rsidRDefault="006A5C36" w:rsidP="006A5C36">
      <w:pPr>
        <w:numPr>
          <w:ilvl w:val="0"/>
          <w:numId w:val="24"/>
        </w:numPr>
        <w:spacing w:after="0"/>
        <w:ind w:left="420" w:firstLine="0"/>
        <w:jc w:val="left"/>
        <w:textAlignment w:val="baseline"/>
        <w:rPr>
          <w:rFonts w:ascii="Arial" w:eastAsia="Times New Roman" w:hAnsi="Arial" w:cs="Arial"/>
          <w:lang w:eastAsia="en-GB"/>
        </w:rPr>
      </w:pPr>
      <w:r w:rsidRPr="00CC67AA">
        <w:rPr>
          <w:rFonts w:ascii="Arial" w:eastAsia="Times New Roman" w:hAnsi="Arial" w:cs="Arial"/>
          <w:lang w:eastAsia="en-GB"/>
        </w:rPr>
        <w:lastRenderedPageBreak/>
        <w:t>Commercial properties </w:t>
      </w:r>
    </w:p>
    <w:p w14:paraId="3343ABB7" w14:textId="77777777" w:rsidR="006A5C36" w:rsidRPr="00CC67AA" w:rsidRDefault="006A5C36" w:rsidP="00111FAC">
      <w:pPr>
        <w:spacing w:after="0"/>
        <w:ind w:left="0"/>
        <w:rPr>
          <w:rFonts w:ascii="Arial" w:eastAsia="Times New Roman" w:hAnsi="Arial" w:cs="Arial"/>
          <w:lang w:eastAsia="en-GB"/>
        </w:rPr>
      </w:pPr>
    </w:p>
    <w:p w14:paraId="32FECD71" w14:textId="2A703821" w:rsidR="000005B5" w:rsidRDefault="000005B5" w:rsidP="00111FAC">
      <w:pPr>
        <w:spacing w:after="0"/>
        <w:ind w:left="0"/>
        <w:rPr>
          <w:rFonts w:ascii="Arial" w:eastAsia="Times New Roman" w:hAnsi="Arial" w:cs="Arial"/>
          <w:lang w:eastAsia="en-GB"/>
        </w:rPr>
      </w:pPr>
    </w:p>
    <w:p w14:paraId="7A5AE208" w14:textId="25131C53" w:rsidR="000005B5" w:rsidRDefault="000005B5" w:rsidP="00111FAC">
      <w:pPr>
        <w:spacing w:after="0"/>
        <w:ind w:left="0"/>
        <w:rPr>
          <w:rFonts w:ascii="Arial" w:eastAsia="Times New Roman" w:hAnsi="Arial" w:cs="Arial"/>
          <w:lang w:eastAsia="en-GB"/>
        </w:rPr>
      </w:pPr>
      <w:r>
        <w:rPr>
          <w:rFonts w:ascii="Arial" w:eastAsia="Times New Roman" w:hAnsi="Arial" w:cs="Arial"/>
          <w:lang w:eastAsia="en-GB"/>
        </w:rPr>
        <w:t>Out of scope of this policy:</w:t>
      </w:r>
    </w:p>
    <w:p w14:paraId="693250F9" w14:textId="6A2B5D31" w:rsidR="000005B5" w:rsidRDefault="000005B5"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Assisted Gardening services and charges</w:t>
      </w:r>
    </w:p>
    <w:p w14:paraId="1CA30F2C" w14:textId="49340ABA" w:rsidR="000005B5" w:rsidRDefault="000005B5"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Affordable rented properties</w:t>
      </w:r>
    </w:p>
    <w:p w14:paraId="6C8C5CC2" w14:textId="40E663C0" w:rsidR="000005B5" w:rsidRDefault="000005B5"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Market rent properties ?</w:t>
      </w:r>
    </w:p>
    <w:p w14:paraId="618DA38D" w14:textId="7AF9E0A4" w:rsidR="000005B5" w:rsidRDefault="000005B5"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Charges levied by other parties such as Care charges</w:t>
      </w:r>
    </w:p>
    <w:p w14:paraId="5F2BF9D9" w14:textId="3305C641" w:rsidR="000005B5" w:rsidRDefault="0079382F"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Communal &amp; network heating systems charges</w:t>
      </w:r>
    </w:p>
    <w:p w14:paraId="7F9383BA" w14:textId="4A9F05F6" w:rsidR="00584C92" w:rsidRDefault="00584C92"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Ground rents</w:t>
      </w:r>
    </w:p>
    <w:p w14:paraId="51B495B1" w14:textId="049D24C0" w:rsidR="00D53D92" w:rsidRDefault="00F67518"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Fair rent properties – pre</w:t>
      </w:r>
      <w:r w:rsidR="009C2838">
        <w:rPr>
          <w:rFonts w:ascii="Arial" w:eastAsia="Times New Roman" w:hAnsi="Arial" w:cs="Arial"/>
          <w:lang w:eastAsia="en-GB"/>
        </w:rPr>
        <w:t>-</w:t>
      </w:r>
      <w:r>
        <w:rPr>
          <w:rFonts w:ascii="Arial" w:eastAsia="Times New Roman" w:hAnsi="Arial" w:cs="Arial"/>
          <w:lang w:eastAsia="en-GB"/>
        </w:rPr>
        <w:t>1985</w:t>
      </w:r>
    </w:p>
    <w:p w14:paraId="383CE9DC" w14:textId="1B977FF7" w:rsidR="00F67518" w:rsidRDefault="00F67518" w:rsidP="000005B5">
      <w:pPr>
        <w:pStyle w:val="ListParagraph"/>
        <w:numPr>
          <w:ilvl w:val="0"/>
          <w:numId w:val="40"/>
        </w:numPr>
        <w:spacing w:after="0"/>
        <w:rPr>
          <w:rFonts w:ascii="Arial" w:eastAsia="Times New Roman" w:hAnsi="Arial" w:cs="Arial"/>
          <w:lang w:eastAsia="en-GB"/>
        </w:rPr>
      </w:pPr>
      <w:r>
        <w:rPr>
          <w:rFonts w:ascii="Arial" w:eastAsia="Times New Roman" w:hAnsi="Arial" w:cs="Arial"/>
          <w:lang w:eastAsia="en-GB"/>
        </w:rPr>
        <w:t>Social rent properties – tenancy start pre</w:t>
      </w:r>
      <w:r w:rsidR="009C2838">
        <w:rPr>
          <w:rFonts w:ascii="Arial" w:eastAsia="Times New Roman" w:hAnsi="Arial" w:cs="Arial"/>
          <w:lang w:eastAsia="en-GB"/>
        </w:rPr>
        <w:t>-</w:t>
      </w:r>
      <w:r>
        <w:rPr>
          <w:rFonts w:ascii="Arial" w:eastAsia="Times New Roman" w:hAnsi="Arial" w:cs="Arial"/>
          <w:lang w:eastAsia="en-GB"/>
        </w:rPr>
        <w:t>2018</w:t>
      </w:r>
    </w:p>
    <w:p w14:paraId="3E92C00C" w14:textId="77777777" w:rsidR="001A6B2F" w:rsidRPr="00CC67AA" w:rsidRDefault="001A6B2F" w:rsidP="00EA666A">
      <w:pPr>
        <w:spacing w:after="3" w:line="291" w:lineRule="auto"/>
        <w:ind w:left="-5" w:hanging="10"/>
        <w:jc w:val="left"/>
        <w:rPr>
          <w:rFonts w:ascii="Arial" w:eastAsia="Arial" w:hAnsi="Arial" w:cs="Arial"/>
          <w:color w:val="000000" w:themeColor="text1"/>
          <w:lang w:eastAsia="en-GB"/>
        </w:rPr>
      </w:pPr>
    </w:p>
    <w:p w14:paraId="1EDE59C3" w14:textId="77777777" w:rsidR="00FE11F9" w:rsidRPr="00CC67AA" w:rsidRDefault="001A6B2F" w:rsidP="00EA666A">
      <w:pPr>
        <w:spacing w:after="3" w:line="291" w:lineRule="auto"/>
        <w:ind w:left="-5" w:hanging="10"/>
        <w:jc w:val="left"/>
        <w:rPr>
          <w:rFonts w:ascii="Arial" w:eastAsia="Arial" w:hAnsi="Arial" w:cs="Arial"/>
          <w:b/>
          <w:color w:val="000000" w:themeColor="text1"/>
          <w:lang w:eastAsia="en-GB"/>
        </w:rPr>
      </w:pPr>
      <w:r w:rsidRPr="00CC67AA">
        <w:rPr>
          <w:rFonts w:ascii="Arial" w:eastAsia="Arial" w:hAnsi="Arial" w:cs="Arial"/>
          <w:b/>
          <w:color w:val="000000" w:themeColor="text1"/>
          <w:lang w:eastAsia="en-GB"/>
        </w:rPr>
        <w:t>4</w:t>
      </w:r>
      <w:r w:rsidR="00BA1E24" w:rsidRPr="00CC67AA">
        <w:rPr>
          <w:rFonts w:ascii="Arial" w:eastAsia="Arial" w:hAnsi="Arial" w:cs="Arial"/>
          <w:b/>
          <w:color w:val="000000" w:themeColor="text1"/>
          <w:lang w:eastAsia="en-GB"/>
        </w:rPr>
        <w:t xml:space="preserve">.0 </w:t>
      </w:r>
      <w:r w:rsidR="00B63AC5" w:rsidRPr="00CC67AA">
        <w:rPr>
          <w:rFonts w:ascii="Arial" w:eastAsia="Arial" w:hAnsi="Arial" w:cs="Arial"/>
          <w:b/>
          <w:color w:val="000000" w:themeColor="text1"/>
          <w:lang w:eastAsia="en-GB"/>
        </w:rPr>
        <w:t>Compliance</w:t>
      </w:r>
      <w:r w:rsidR="00BA1E24" w:rsidRPr="00CC67AA">
        <w:rPr>
          <w:rFonts w:ascii="Arial" w:eastAsia="Arial" w:hAnsi="Arial" w:cs="Arial"/>
          <w:b/>
          <w:color w:val="000000" w:themeColor="text1"/>
          <w:lang w:eastAsia="en-GB"/>
        </w:rPr>
        <w:t xml:space="preserve"> - Statutory and Legal Framework</w:t>
      </w:r>
    </w:p>
    <w:p w14:paraId="532659AB" w14:textId="77777777" w:rsidR="00FE11F9" w:rsidRPr="00CC67AA" w:rsidRDefault="00FE11F9" w:rsidP="00EA666A">
      <w:pPr>
        <w:spacing w:after="3" w:line="291" w:lineRule="auto"/>
        <w:ind w:left="-5" w:hanging="10"/>
        <w:jc w:val="left"/>
        <w:rPr>
          <w:rFonts w:ascii="Arial" w:eastAsia="Arial" w:hAnsi="Arial" w:cs="Arial"/>
          <w:color w:val="000000" w:themeColor="text1"/>
          <w:lang w:eastAsia="en-GB"/>
        </w:rPr>
      </w:pPr>
    </w:p>
    <w:p w14:paraId="014AC812" w14:textId="4E2EFF07" w:rsidR="00B63AC5" w:rsidRPr="00527FF5" w:rsidRDefault="00B63AC5" w:rsidP="00BA1E24">
      <w:pPr>
        <w:spacing w:after="3" w:line="291" w:lineRule="auto"/>
        <w:ind w:left="-5" w:hanging="10"/>
        <w:jc w:val="left"/>
        <w:rPr>
          <w:rFonts w:ascii="Arial" w:eastAsia="Arial" w:hAnsi="Arial" w:cs="Arial"/>
          <w:color w:val="000000" w:themeColor="text1"/>
          <w:lang w:eastAsia="en-GB"/>
        </w:rPr>
      </w:pPr>
      <w:r w:rsidRPr="00527FF5">
        <w:rPr>
          <w:rFonts w:ascii="Arial" w:eastAsia="Arial" w:hAnsi="Arial" w:cs="Arial"/>
          <w:color w:val="000000" w:themeColor="text1"/>
          <w:lang w:eastAsia="en-GB"/>
        </w:rPr>
        <w:t>This policy is in place to support</w:t>
      </w:r>
      <w:r w:rsidR="00615589">
        <w:rPr>
          <w:rFonts w:ascii="Arial" w:eastAsia="Arial" w:hAnsi="Arial" w:cs="Arial"/>
          <w:color w:val="000000" w:themeColor="text1"/>
          <w:lang w:eastAsia="en-GB"/>
        </w:rPr>
        <w:t>, WCHGs compliance with the following</w:t>
      </w:r>
      <w:r w:rsidRPr="00527FF5">
        <w:rPr>
          <w:rFonts w:ascii="Arial" w:eastAsia="Arial" w:hAnsi="Arial" w:cs="Arial"/>
          <w:color w:val="000000" w:themeColor="text1"/>
          <w:lang w:eastAsia="en-GB"/>
        </w:rPr>
        <w:t>:</w:t>
      </w:r>
    </w:p>
    <w:p w14:paraId="2CEA10F0" w14:textId="77777777" w:rsidR="00B63AC5" w:rsidRPr="00527FF5" w:rsidRDefault="00B63AC5" w:rsidP="00BA1E24">
      <w:pPr>
        <w:spacing w:after="3" w:line="291" w:lineRule="auto"/>
        <w:ind w:left="-5" w:hanging="10"/>
        <w:jc w:val="left"/>
        <w:rPr>
          <w:rFonts w:ascii="Arial" w:eastAsia="Arial" w:hAnsi="Arial" w:cs="Arial"/>
          <w:color w:val="000000" w:themeColor="text1"/>
          <w:lang w:eastAsia="en-GB"/>
        </w:rPr>
      </w:pPr>
    </w:p>
    <w:p w14:paraId="2A989C16" w14:textId="5E558EEF" w:rsidR="00B63AC5" w:rsidRPr="00B63AC5" w:rsidRDefault="00B63AC5" w:rsidP="00B63AC5">
      <w:pPr>
        <w:numPr>
          <w:ilvl w:val="0"/>
          <w:numId w:val="26"/>
        </w:numPr>
        <w:spacing w:after="0"/>
        <w:ind w:left="420" w:firstLine="0"/>
        <w:jc w:val="left"/>
        <w:textAlignment w:val="baseline"/>
        <w:rPr>
          <w:rFonts w:ascii="Arial" w:eastAsia="Times New Roman" w:hAnsi="Arial" w:cs="Arial"/>
          <w:lang w:eastAsia="en-GB"/>
        </w:rPr>
      </w:pPr>
      <w:r w:rsidRPr="00B63AC5">
        <w:rPr>
          <w:rFonts w:ascii="Arial" w:eastAsia="Times New Roman" w:hAnsi="Arial" w:cs="Arial"/>
          <w:lang w:eastAsia="en-GB"/>
        </w:rPr>
        <w:t>Regulatory compliance – in particular the Rent Standard</w:t>
      </w:r>
      <w:r w:rsidR="008C5EFD">
        <w:rPr>
          <w:rFonts w:ascii="Arial" w:eastAsia="Times New Roman" w:hAnsi="Arial" w:cs="Arial"/>
          <w:lang w:eastAsia="en-GB"/>
        </w:rPr>
        <w:t xml:space="preserve"> &amp; Consumer standards</w:t>
      </w:r>
      <w:r w:rsidRPr="00B63AC5">
        <w:rPr>
          <w:rFonts w:ascii="Arial" w:eastAsia="Times New Roman" w:hAnsi="Arial" w:cs="Arial"/>
          <w:lang w:eastAsia="en-GB"/>
        </w:rPr>
        <w:t> </w:t>
      </w:r>
    </w:p>
    <w:p w14:paraId="3BA8AF41" w14:textId="77777777" w:rsidR="00B63AC5" w:rsidRPr="00527FF5" w:rsidRDefault="00B63AC5" w:rsidP="00B63AC5">
      <w:pPr>
        <w:numPr>
          <w:ilvl w:val="0"/>
          <w:numId w:val="27"/>
        </w:numPr>
        <w:spacing w:after="0"/>
        <w:ind w:left="420" w:firstLine="0"/>
        <w:jc w:val="left"/>
        <w:textAlignment w:val="baseline"/>
        <w:rPr>
          <w:rFonts w:ascii="Arial" w:eastAsia="Times New Roman" w:hAnsi="Arial" w:cs="Arial"/>
          <w:lang w:eastAsia="en-GB"/>
        </w:rPr>
      </w:pPr>
      <w:r w:rsidRPr="00B63AC5">
        <w:rPr>
          <w:rFonts w:ascii="Arial" w:eastAsia="Times New Roman" w:hAnsi="Arial" w:cs="Arial"/>
          <w:lang w:eastAsia="en-GB"/>
        </w:rPr>
        <w:t xml:space="preserve">Legislative compliance – in particular the Landlord &amp; Tenants Act 1985 as </w:t>
      </w:r>
      <w:r w:rsidRPr="00527FF5">
        <w:rPr>
          <w:rFonts w:ascii="Arial" w:eastAsia="Times New Roman" w:hAnsi="Arial" w:cs="Arial"/>
          <w:lang w:eastAsia="en-GB"/>
        </w:rPr>
        <w:t xml:space="preserve"> </w:t>
      </w:r>
    </w:p>
    <w:p w14:paraId="515815BC" w14:textId="77777777" w:rsidR="00B63AC5" w:rsidRPr="00527FF5" w:rsidRDefault="00B63AC5" w:rsidP="00B63AC5">
      <w:pPr>
        <w:spacing w:after="0"/>
        <w:ind w:left="420"/>
        <w:jc w:val="left"/>
        <w:textAlignment w:val="baseline"/>
        <w:rPr>
          <w:rFonts w:ascii="Arial" w:eastAsia="Times New Roman" w:hAnsi="Arial" w:cs="Arial"/>
          <w:lang w:eastAsia="en-GB"/>
        </w:rPr>
      </w:pPr>
      <w:r w:rsidRPr="00527FF5">
        <w:rPr>
          <w:rFonts w:ascii="Arial" w:eastAsia="Times New Roman" w:hAnsi="Arial" w:cs="Arial"/>
          <w:lang w:eastAsia="en-GB"/>
        </w:rPr>
        <w:t xml:space="preserve">    </w:t>
      </w:r>
      <w:r w:rsidR="00AD5B2F">
        <w:rPr>
          <w:rFonts w:ascii="Arial" w:eastAsia="Times New Roman" w:hAnsi="Arial" w:cs="Arial"/>
          <w:lang w:eastAsia="en-GB"/>
        </w:rPr>
        <w:t xml:space="preserve"> </w:t>
      </w:r>
      <w:r w:rsidRPr="00B63AC5">
        <w:rPr>
          <w:rFonts w:ascii="Arial" w:eastAsia="Times New Roman" w:hAnsi="Arial" w:cs="Arial"/>
          <w:lang w:eastAsia="en-GB"/>
        </w:rPr>
        <w:t xml:space="preserve">amended, Landlord &amp; Tenants Act 1987, common &amp; Leaseholder Reform Act </w:t>
      </w:r>
    </w:p>
    <w:p w14:paraId="3B46A99C" w14:textId="77777777" w:rsidR="00B63AC5" w:rsidRPr="00B63AC5" w:rsidRDefault="00B63AC5" w:rsidP="00B63AC5">
      <w:pPr>
        <w:spacing w:after="0"/>
        <w:ind w:left="420"/>
        <w:jc w:val="left"/>
        <w:textAlignment w:val="baseline"/>
        <w:rPr>
          <w:rFonts w:ascii="Arial" w:eastAsia="Times New Roman" w:hAnsi="Arial" w:cs="Arial"/>
          <w:lang w:eastAsia="en-GB"/>
        </w:rPr>
      </w:pPr>
      <w:r w:rsidRPr="00527FF5">
        <w:rPr>
          <w:rFonts w:ascii="Arial" w:eastAsia="Times New Roman" w:hAnsi="Arial" w:cs="Arial"/>
          <w:lang w:eastAsia="en-GB"/>
        </w:rPr>
        <w:t xml:space="preserve">    </w:t>
      </w:r>
      <w:r w:rsidR="00AD5B2F">
        <w:rPr>
          <w:rFonts w:ascii="Arial" w:eastAsia="Times New Roman" w:hAnsi="Arial" w:cs="Arial"/>
          <w:lang w:eastAsia="en-GB"/>
        </w:rPr>
        <w:t xml:space="preserve"> </w:t>
      </w:r>
      <w:r w:rsidRPr="00B63AC5">
        <w:rPr>
          <w:rFonts w:ascii="Arial" w:eastAsia="Times New Roman" w:hAnsi="Arial" w:cs="Arial"/>
          <w:lang w:eastAsia="en-GB"/>
        </w:rPr>
        <w:t>2002 (which amended the 1985 Act) </w:t>
      </w:r>
    </w:p>
    <w:p w14:paraId="20E5971F" w14:textId="77777777" w:rsidR="00B63AC5" w:rsidRPr="00527FF5" w:rsidRDefault="00B63AC5" w:rsidP="00B63AC5">
      <w:pPr>
        <w:numPr>
          <w:ilvl w:val="0"/>
          <w:numId w:val="28"/>
        </w:numPr>
        <w:spacing w:after="0"/>
        <w:ind w:left="420" w:firstLine="0"/>
        <w:jc w:val="left"/>
        <w:textAlignment w:val="baseline"/>
        <w:rPr>
          <w:rFonts w:ascii="Arial" w:eastAsia="Times New Roman" w:hAnsi="Arial" w:cs="Arial"/>
          <w:lang w:eastAsia="en-GB"/>
        </w:rPr>
      </w:pPr>
      <w:r w:rsidRPr="00B63AC5">
        <w:rPr>
          <w:rFonts w:ascii="Arial" w:eastAsia="Times New Roman" w:hAnsi="Arial" w:cs="Arial"/>
          <w:lang w:eastAsia="en-GB"/>
        </w:rPr>
        <w:t xml:space="preserve">Best practice – Including the National Federation – Service Charges </w:t>
      </w:r>
    </w:p>
    <w:p w14:paraId="22E344C0" w14:textId="77777777" w:rsidR="00B63AC5" w:rsidRPr="00B63AC5" w:rsidRDefault="00B63AC5" w:rsidP="00B63AC5">
      <w:pPr>
        <w:spacing w:after="0"/>
        <w:ind w:left="420"/>
        <w:jc w:val="left"/>
        <w:textAlignment w:val="baseline"/>
        <w:rPr>
          <w:rFonts w:ascii="Arial" w:eastAsia="Times New Roman" w:hAnsi="Arial" w:cs="Arial"/>
          <w:lang w:eastAsia="en-GB"/>
        </w:rPr>
      </w:pPr>
      <w:r w:rsidRPr="00527FF5">
        <w:rPr>
          <w:rFonts w:ascii="Arial" w:eastAsia="Times New Roman" w:hAnsi="Arial" w:cs="Arial"/>
          <w:lang w:eastAsia="en-GB"/>
        </w:rPr>
        <w:t xml:space="preserve">  </w:t>
      </w:r>
      <w:r w:rsidR="00AD5B2F">
        <w:rPr>
          <w:rFonts w:ascii="Arial" w:eastAsia="Times New Roman" w:hAnsi="Arial" w:cs="Arial"/>
          <w:lang w:eastAsia="en-GB"/>
        </w:rPr>
        <w:t xml:space="preserve"> </w:t>
      </w:r>
      <w:r w:rsidRPr="00527FF5">
        <w:rPr>
          <w:rFonts w:ascii="Arial" w:eastAsia="Times New Roman" w:hAnsi="Arial" w:cs="Arial"/>
          <w:lang w:eastAsia="en-GB"/>
        </w:rPr>
        <w:t xml:space="preserve">  </w:t>
      </w:r>
      <w:r w:rsidRPr="00B63AC5">
        <w:rPr>
          <w:rFonts w:ascii="Arial" w:eastAsia="Times New Roman" w:hAnsi="Arial" w:cs="Arial"/>
          <w:lang w:eastAsia="en-GB"/>
        </w:rPr>
        <w:t>handbook </w:t>
      </w:r>
    </w:p>
    <w:p w14:paraId="6280C81B" w14:textId="1E14F2A3" w:rsidR="00527FF5" w:rsidRPr="00B63AC5" w:rsidRDefault="00B63AC5" w:rsidP="00CF3F22">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018994B2"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The Landlord and Tenants Act 1985 and Commonhold and Leasehold Reform Act 2002 </w:t>
      </w:r>
    </w:p>
    <w:p w14:paraId="161A1ED3"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Section 19 (1) (a) Service charges must be reasonabl</w:t>
      </w:r>
      <w:r w:rsidR="00BE3D12">
        <w:rPr>
          <w:rFonts w:ascii="Arial" w:eastAsia="Times New Roman" w:hAnsi="Arial" w:cs="Arial"/>
          <w:lang w:eastAsia="en-GB"/>
        </w:rPr>
        <w:t>y</w:t>
      </w:r>
      <w:r w:rsidRPr="00B63AC5">
        <w:rPr>
          <w:rFonts w:ascii="Arial" w:eastAsia="Times New Roman" w:hAnsi="Arial" w:cs="Arial"/>
          <w:lang w:eastAsia="en-GB"/>
        </w:rPr>
        <w:t xml:space="preserve"> incurred. </w:t>
      </w:r>
    </w:p>
    <w:p w14:paraId="031D33F0" w14:textId="5F64722F" w:rsidR="00B63AC5" w:rsidRPr="00B63AC5" w:rsidRDefault="00527FF5" w:rsidP="00B63AC5">
      <w:pPr>
        <w:spacing w:after="0"/>
        <w:ind w:left="0"/>
        <w:textAlignment w:val="baseline"/>
        <w:rPr>
          <w:rFonts w:ascii="Arial" w:eastAsia="Times New Roman" w:hAnsi="Arial" w:cs="Arial"/>
          <w:lang w:eastAsia="en-GB"/>
        </w:rPr>
      </w:pPr>
      <w:r w:rsidRPr="00527FF5">
        <w:rPr>
          <w:rFonts w:ascii="Arial" w:eastAsia="Times New Roman" w:hAnsi="Arial" w:cs="Arial"/>
          <w:lang w:eastAsia="en-GB"/>
        </w:rPr>
        <w:t>WCHG</w:t>
      </w:r>
      <w:r w:rsidR="00B63AC5" w:rsidRPr="00B63AC5">
        <w:rPr>
          <w:rFonts w:ascii="Arial" w:eastAsia="Times New Roman" w:hAnsi="Arial" w:cs="Arial"/>
          <w:lang w:eastAsia="en-GB"/>
        </w:rPr>
        <w:t xml:space="preserve"> will demonstrate reasonableness by retendering services on a regular basis as per the </w:t>
      </w:r>
      <w:r w:rsidRPr="00527FF5">
        <w:rPr>
          <w:rFonts w:ascii="Arial" w:eastAsia="Times New Roman" w:hAnsi="Arial" w:cs="Arial"/>
          <w:lang w:eastAsia="en-GB"/>
        </w:rPr>
        <w:t>Procurement policy</w:t>
      </w:r>
      <w:r w:rsidR="00E20DFD">
        <w:rPr>
          <w:rFonts w:ascii="Arial" w:eastAsia="Times New Roman" w:hAnsi="Arial" w:cs="Arial"/>
          <w:lang w:eastAsia="en-GB"/>
        </w:rPr>
        <w:t xml:space="preserve"> to demonstrate value for money</w:t>
      </w:r>
      <w:r w:rsidR="00B63AC5" w:rsidRPr="00B63AC5">
        <w:rPr>
          <w:rFonts w:ascii="Arial" w:eastAsia="Times New Roman" w:hAnsi="Arial" w:cs="Arial"/>
          <w:lang w:eastAsia="en-GB"/>
        </w:rPr>
        <w:t>. </w:t>
      </w:r>
    </w:p>
    <w:p w14:paraId="125E2E68" w14:textId="77777777" w:rsidR="00BE3D12" w:rsidRDefault="00BE3D12" w:rsidP="00B63AC5">
      <w:pPr>
        <w:spacing w:after="0"/>
        <w:ind w:left="0"/>
        <w:textAlignment w:val="baseline"/>
        <w:rPr>
          <w:rFonts w:ascii="Arial" w:eastAsia="Times New Roman" w:hAnsi="Arial" w:cs="Arial"/>
          <w:lang w:eastAsia="en-GB"/>
        </w:rPr>
      </w:pPr>
    </w:p>
    <w:p w14:paraId="42270E0F"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Section 19 (1) (b) The provision of services or carrying out of works must be of a reasonable standard. </w:t>
      </w:r>
    </w:p>
    <w:p w14:paraId="6F53261B" w14:textId="121ACF26" w:rsidR="00B63AC5" w:rsidRPr="00B63AC5" w:rsidRDefault="00527FF5" w:rsidP="00BE3D12">
      <w:pPr>
        <w:spacing w:after="0"/>
        <w:ind w:left="0"/>
        <w:textAlignment w:val="baseline"/>
        <w:rPr>
          <w:rFonts w:ascii="Arial" w:eastAsia="Times New Roman" w:hAnsi="Arial" w:cs="Arial"/>
          <w:lang w:eastAsia="en-GB"/>
        </w:rPr>
      </w:pPr>
      <w:r w:rsidRPr="00527FF5">
        <w:rPr>
          <w:rFonts w:ascii="Arial" w:eastAsia="Times New Roman" w:hAnsi="Arial" w:cs="Arial"/>
          <w:lang w:eastAsia="en-GB"/>
        </w:rPr>
        <w:t>WCHG</w:t>
      </w:r>
      <w:r w:rsidR="00B63AC5" w:rsidRPr="00B63AC5">
        <w:rPr>
          <w:rFonts w:ascii="Arial" w:eastAsia="Times New Roman" w:hAnsi="Arial" w:cs="Arial"/>
          <w:lang w:eastAsia="en-GB"/>
        </w:rPr>
        <w:t xml:space="preserve"> will demonstrate a reasonable standard of service delivery by robust contract management</w:t>
      </w:r>
      <w:r w:rsidR="004E612A">
        <w:rPr>
          <w:rFonts w:ascii="Arial" w:eastAsia="Times New Roman" w:hAnsi="Arial" w:cs="Arial"/>
          <w:lang w:eastAsia="en-GB"/>
        </w:rPr>
        <w:t>,</w:t>
      </w:r>
      <w:r w:rsidR="00B63AC5" w:rsidRPr="00B63AC5">
        <w:rPr>
          <w:rFonts w:ascii="Arial" w:eastAsia="Times New Roman" w:hAnsi="Arial" w:cs="Arial"/>
          <w:lang w:eastAsia="en-GB"/>
        </w:rPr>
        <w:t xml:space="preserve"> </w:t>
      </w:r>
      <w:r w:rsidRPr="00527FF5">
        <w:rPr>
          <w:rFonts w:ascii="Arial" w:eastAsia="Times New Roman" w:hAnsi="Arial" w:cs="Arial"/>
          <w:lang w:eastAsia="en-GB"/>
        </w:rPr>
        <w:t>utilising</w:t>
      </w:r>
      <w:r w:rsidR="00B63AC5" w:rsidRPr="00B63AC5">
        <w:rPr>
          <w:rFonts w:ascii="Arial" w:eastAsia="Times New Roman" w:hAnsi="Arial" w:cs="Arial"/>
          <w:lang w:eastAsia="en-GB"/>
        </w:rPr>
        <w:t xml:space="preserve"> </w:t>
      </w:r>
      <w:r w:rsidR="004E612A">
        <w:rPr>
          <w:rFonts w:ascii="Arial" w:eastAsia="Times New Roman" w:hAnsi="Arial" w:cs="Arial"/>
          <w:lang w:eastAsia="en-GB"/>
        </w:rPr>
        <w:t xml:space="preserve">customer involvement and seeking </w:t>
      </w:r>
      <w:r w:rsidR="00B63AC5" w:rsidRPr="00B63AC5">
        <w:rPr>
          <w:rFonts w:ascii="Arial" w:eastAsia="Times New Roman" w:hAnsi="Arial" w:cs="Arial"/>
          <w:lang w:eastAsia="en-GB"/>
        </w:rPr>
        <w:t>customer feedback</w:t>
      </w:r>
      <w:r w:rsidR="00337725">
        <w:rPr>
          <w:rFonts w:ascii="Arial" w:eastAsia="Times New Roman" w:hAnsi="Arial" w:cs="Arial"/>
          <w:lang w:eastAsia="en-GB"/>
        </w:rPr>
        <w:t xml:space="preserve"> with regard to the services delivered</w:t>
      </w:r>
      <w:r w:rsidR="00DC5737">
        <w:rPr>
          <w:rFonts w:ascii="Arial" w:eastAsia="Times New Roman" w:hAnsi="Arial" w:cs="Arial"/>
          <w:lang w:eastAsia="en-GB"/>
        </w:rPr>
        <w:t xml:space="preserve"> </w:t>
      </w:r>
    </w:p>
    <w:p w14:paraId="63E9DB6F" w14:textId="77777777" w:rsidR="00BE3D12" w:rsidRDefault="00BE3D12" w:rsidP="00B63AC5">
      <w:pPr>
        <w:spacing w:after="0"/>
        <w:ind w:left="0"/>
        <w:textAlignment w:val="baseline"/>
        <w:rPr>
          <w:rFonts w:ascii="Arial" w:eastAsia="Times New Roman" w:hAnsi="Arial" w:cs="Arial"/>
          <w:b/>
          <w:bCs/>
          <w:lang w:eastAsia="en-GB"/>
        </w:rPr>
      </w:pPr>
    </w:p>
    <w:p w14:paraId="1D941475"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b/>
          <w:bCs/>
          <w:lang w:eastAsia="en-GB"/>
        </w:rPr>
        <w:t>Section 20 consultation requirements</w:t>
      </w:r>
      <w:r w:rsidRPr="00B63AC5">
        <w:rPr>
          <w:rFonts w:ascii="Arial" w:eastAsia="Times New Roman" w:hAnsi="Arial" w:cs="Arial"/>
          <w:lang w:eastAsia="en-GB"/>
        </w:rPr>
        <w:t> </w:t>
      </w:r>
    </w:p>
    <w:p w14:paraId="54E18BE4" w14:textId="43286E16" w:rsidR="00B63AC5" w:rsidRPr="00B63AC5" w:rsidRDefault="00527FF5" w:rsidP="00B63AC5">
      <w:pPr>
        <w:spacing w:after="0"/>
        <w:ind w:left="0"/>
        <w:textAlignment w:val="baseline"/>
        <w:rPr>
          <w:rFonts w:ascii="Arial" w:eastAsia="Times New Roman" w:hAnsi="Arial" w:cs="Arial"/>
          <w:lang w:eastAsia="en-GB"/>
        </w:rPr>
      </w:pPr>
      <w:r w:rsidRPr="00527FF5">
        <w:rPr>
          <w:rFonts w:ascii="Arial" w:eastAsia="Times New Roman" w:hAnsi="Arial" w:cs="Arial"/>
          <w:lang w:eastAsia="en-GB"/>
        </w:rPr>
        <w:t>WCHG</w:t>
      </w:r>
      <w:r w:rsidR="00B63AC5" w:rsidRPr="00B63AC5">
        <w:rPr>
          <w:rFonts w:ascii="Arial" w:eastAsia="Times New Roman" w:hAnsi="Arial" w:cs="Arial"/>
          <w:lang w:eastAsia="en-GB"/>
        </w:rPr>
        <w:t xml:space="preserve"> will undertake </w:t>
      </w:r>
      <w:r w:rsidR="00E130EC">
        <w:rPr>
          <w:rFonts w:ascii="Arial" w:eastAsia="Times New Roman" w:hAnsi="Arial" w:cs="Arial"/>
          <w:lang w:eastAsia="en-GB"/>
        </w:rPr>
        <w:t xml:space="preserve">resident </w:t>
      </w:r>
      <w:r w:rsidR="00B63AC5" w:rsidRPr="00B63AC5">
        <w:rPr>
          <w:rFonts w:ascii="Arial" w:eastAsia="Times New Roman" w:hAnsi="Arial" w:cs="Arial"/>
          <w:lang w:eastAsia="en-GB"/>
        </w:rPr>
        <w:t xml:space="preserve">consultation and listen to the views </w:t>
      </w:r>
      <w:r w:rsidR="00E130EC">
        <w:rPr>
          <w:rFonts w:ascii="Arial" w:eastAsia="Times New Roman" w:hAnsi="Arial" w:cs="Arial"/>
          <w:lang w:eastAsia="en-GB"/>
        </w:rPr>
        <w:t xml:space="preserve">from residents </w:t>
      </w:r>
      <w:r w:rsidR="00B63AC5" w:rsidRPr="00B63AC5">
        <w:rPr>
          <w:rFonts w:ascii="Arial" w:eastAsia="Times New Roman" w:hAnsi="Arial" w:cs="Arial"/>
          <w:lang w:eastAsia="en-GB"/>
        </w:rPr>
        <w:t>about service provision and the charges for any works completed. We will consult with all residents paying a variable service charge if qualifying works costs exceed £250 (including VAT) per property and/or we intend to enter into a qualifying long-term agreement with a length longer than 12 months and with a cost of more than £100 (including VAT) per property. </w:t>
      </w:r>
    </w:p>
    <w:p w14:paraId="6BC09D4A"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575F1C90" w14:textId="29899E47" w:rsidR="00B63AC5" w:rsidRPr="00584C92"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xml:space="preserve">Failure to follow the correct consultation procedure will mean that </w:t>
      </w:r>
      <w:r w:rsidR="00527FF5" w:rsidRPr="00527FF5">
        <w:rPr>
          <w:rFonts w:ascii="Arial" w:eastAsia="Times New Roman" w:hAnsi="Arial" w:cs="Arial"/>
          <w:lang w:eastAsia="en-GB"/>
        </w:rPr>
        <w:t xml:space="preserve">WCHG </w:t>
      </w:r>
      <w:r w:rsidRPr="00B63AC5">
        <w:rPr>
          <w:rFonts w:ascii="Arial" w:eastAsia="Times New Roman" w:hAnsi="Arial" w:cs="Arial"/>
          <w:lang w:eastAsia="en-GB"/>
        </w:rPr>
        <w:t xml:space="preserve">are only able to recover a maximum of £100 for long term agreements entered into and/or £250 for Qualifying works carried out, of the value of the contract and/or the cost of works from any one customer </w:t>
      </w:r>
      <w:r w:rsidRPr="00584C92">
        <w:rPr>
          <w:rFonts w:ascii="Arial" w:eastAsia="Times New Roman" w:hAnsi="Arial" w:cs="Arial"/>
          <w:lang w:eastAsia="en-GB"/>
        </w:rPr>
        <w:t>in any one financial year. </w:t>
      </w:r>
      <w:r w:rsidR="00123051" w:rsidRPr="00584C92">
        <w:rPr>
          <w:rFonts w:ascii="Arial" w:eastAsia="Times New Roman" w:hAnsi="Arial" w:cs="Arial"/>
          <w:lang w:eastAsia="en-GB"/>
        </w:rPr>
        <w:t xml:space="preserve">In </w:t>
      </w:r>
      <w:r w:rsidR="004500B6" w:rsidRPr="00584C92">
        <w:rPr>
          <w:rFonts w:ascii="Arial" w:eastAsia="Times New Roman" w:hAnsi="Arial" w:cs="Arial"/>
          <w:lang w:eastAsia="en-GB"/>
        </w:rPr>
        <w:t>certain circumstances WCHG will seek to set aside section 20 requirements if there is an urgent requirement to undertake urgent works due to Building or health and safety reasons. WCHG will always communicate to residents where this is the case and will also seek to make this the exception rather than the norm.</w:t>
      </w:r>
      <w:r w:rsidR="00994DA1" w:rsidRPr="00584C92">
        <w:rPr>
          <w:rFonts w:ascii="Arial" w:eastAsia="Times New Roman" w:hAnsi="Arial" w:cs="Arial"/>
          <w:lang w:eastAsia="en-GB"/>
        </w:rPr>
        <w:t xml:space="preserve"> WCHG may apply to the First-tier Tribunal in these incidences. </w:t>
      </w:r>
    </w:p>
    <w:p w14:paraId="76D7A3BD" w14:textId="77777777" w:rsidR="00B63AC5" w:rsidRPr="00584C92" w:rsidRDefault="00B63AC5" w:rsidP="00B63AC5">
      <w:pPr>
        <w:spacing w:after="0"/>
        <w:ind w:left="0"/>
        <w:textAlignment w:val="baseline"/>
        <w:rPr>
          <w:rFonts w:ascii="Arial" w:eastAsia="Times New Roman" w:hAnsi="Arial" w:cs="Arial"/>
          <w:lang w:eastAsia="en-GB"/>
        </w:rPr>
      </w:pPr>
      <w:r w:rsidRPr="00584C92">
        <w:rPr>
          <w:rFonts w:ascii="Arial" w:eastAsia="Times New Roman" w:hAnsi="Arial" w:cs="Arial"/>
          <w:lang w:eastAsia="en-GB"/>
        </w:rPr>
        <w:t> </w:t>
      </w:r>
    </w:p>
    <w:p w14:paraId="49B18B49"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lastRenderedPageBreak/>
        <w:t>For customer groups covered by the legislation relating to Qualifying Long-Term Agreements, Qualifying Works, and Qualifying Works within a Long-Term Agreement a separate consultation exercise will be undertaken. These are defined as: </w:t>
      </w:r>
    </w:p>
    <w:p w14:paraId="3B3952A6"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2124900F" w14:textId="77777777" w:rsidR="00527FF5" w:rsidRPr="00527FF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b/>
          <w:bCs/>
          <w:lang w:eastAsia="en-GB"/>
        </w:rPr>
        <w:t>Qualifying Long Term Agreements</w:t>
      </w:r>
      <w:r w:rsidR="00527FF5" w:rsidRPr="00527FF5">
        <w:rPr>
          <w:rFonts w:ascii="Arial" w:eastAsia="Times New Roman" w:hAnsi="Arial" w:cs="Arial"/>
          <w:b/>
          <w:bCs/>
          <w:lang w:eastAsia="en-GB"/>
        </w:rPr>
        <w:t xml:space="preserve"> </w:t>
      </w:r>
      <w:r w:rsidRPr="00B63AC5">
        <w:rPr>
          <w:rFonts w:ascii="Arial" w:eastAsia="Times New Roman" w:hAnsi="Arial" w:cs="Arial"/>
          <w:b/>
          <w:lang w:eastAsia="en-GB"/>
        </w:rPr>
        <w:t>S20 (1 &amp; 2</w:t>
      </w:r>
      <w:r w:rsidRPr="00B63AC5">
        <w:rPr>
          <w:rFonts w:ascii="Arial" w:eastAsia="Times New Roman" w:hAnsi="Arial" w:cs="Arial"/>
          <w:lang w:eastAsia="en-GB"/>
        </w:rPr>
        <w:t xml:space="preserve">) </w:t>
      </w:r>
    </w:p>
    <w:p w14:paraId="12B75C8E"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Is any agreement to provide services for a period exceeding twelve months when the cost of the service to any one service charge payer exceeds £100 in any accounting period per property. Examples include agreements for supplying goods and services (such as cleaning, window cleaning and gardening). </w:t>
      </w:r>
    </w:p>
    <w:p w14:paraId="1F66638B"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28DE586B" w14:textId="77777777" w:rsidR="00527FF5" w:rsidRPr="00527FF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b/>
          <w:bCs/>
          <w:lang w:eastAsia="en-GB"/>
        </w:rPr>
        <w:t>Qualifying Works</w:t>
      </w:r>
      <w:r w:rsidR="00527FF5" w:rsidRPr="00527FF5">
        <w:rPr>
          <w:rFonts w:ascii="Arial" w:eastAsia="Times New Roman" w:hAnsi="Arial" w:cs="Arial"/>
          <w:b/>
          <w:bCs/>
          <w:lang w:eastAsia="en-GB"/>
        </w:rPr>
        <w:t xml:space="preserve"> </w:t>
      </w:r>
      <w:r w:rsidRPr="00B63AC5">
        <w:rPr>
          <w:rFonts w:ascii="Arial" w:eastAsia="Times New Roman" w:hAnsi="Arial" w:cs="Arial"/>
          <w:b/>
          <w:lang w:eastAsia="en-GB"/>
        </w:rPr>
        <w:t>S20 (4)</w:t>
      </w:r>
      <w:r w:rsidRPr="00B63AC5">
        <w:rPr>
          <w:rFonts w:ascii="Arial" w:eastAsia="Times New Roman" w:hAnsi="Arial" w:cs="Arial"/>
          <w:lang w:eastAsia="en-GB"/>
        </w:rPr>
        <w:t xml:space="preserve"> </w:t>
      </w:r>
    </w:p>
    <w:p w14:paraId="74F2D636" w14:textId="77777777" w:rsidR="00B63AC5" w:rsidRPr="00527FF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Are defined as any work proposed as a one-off cost where the cost to one service charge payer exceeds £250 in a single accounting period per property. Examples include repairs and maintenance and improvements to the building or estate. </w:t>
      </w:r>
    </w:p>
    <w:p w14:paraId="2310D18D" w14:textId="77777777" w:rsidR="00527FF5" w:rsidRPr="00B63AC5" w:rsidRDefault="00527FF5" w:rsidP="00B63AC5">
      <w:pPr>
        <w:spacing w:after="0"/>
        <w:ind w:left="0"/>
        <w:textAlignment w:val="baseline"/>
        <w:rPr>
          <w:rFonts w:ascii="Arial" w:eastAsia="Times New Roman" w:hAnsi="Arial" w:cs="Arial"/>
          <w:lang w:eastAsia="en-GB"/>
        </w:rPr>
      </w:pPr>
    </w:p>
    <w:p w14:paraId="5743D27B" w14:textId="77777777" w:rsidR="00527FF5" w:rsidRPr="00527FF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b/>
          <w:bCs/>
          <w:lang w:eastAsia="en-GB"/>
        </w:rPr>
        <w:t>Qualifying Works within a Qualifying Long-Term Agreement</w:t>
      </w:r>
      <w:r w:rsidRPr="00B63AC5">
        <w:rPr>
          <w:rFonts w:ascii="Arial" w:eastAsia="Times New Roman" w:hAnsi="Arial" w:cs="Arial"/>
          <w:lang w:eastAsia="en-GB"/>
        </w:rPr>
        <w:t xml:space="preserve"> </w:t>
      </w:r>
      <w:r w:rsidRPr="00B63AC5">
        <w:rPr>
          <w:rFonts w:ascii="Arial" w:eastAsia="Times New Roman" w:hAnsi="Arial" w:cs="Arial"/>
          <w:b/>
          <w:lang w:eastAsia="en-GB"/>
        </w:rPr>
        <w:t>S20 (3)</w:t>
      </w:r>
      <w:r w:rsidRPr="00B63AC5">
        <w:rPr>
          <w:rFonts w:ascii="Arial" w:eastAsia="Times New Roman" w:hAnsi="Arial" w:cs="Arial"/>
          <w:lang w:eastAsia="en-GB"/>
        </w:rPr>
        <w:t xml:space="preserve"> </w:t>
      </w:r>
    </w:p>
    <w:p w14:paraId="5FEEA4BB"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xml:space="preserve">Are defined as any works proposed as a one-off cost as part of a Qualifying Long-Term Agreement where the cost to one service charge payer exceeds £250 in any, one accounting period per property.  Even if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have consulted about a long-term agreement with a contractor, if they carry out work that may cost more than £250, we must consult with customers again.  </w:t>
      </w:r>
    </w:p>
    <w:p w14:paraId="613270EC" w14:textId="3C435DEE" w:rsidR="00B63AC5" w:rsidRPr="00BE3D12" w:rsidRDefault="00B63AC5" w:rsidP="00B63AC5">
      <w:pPr>
        <w:spacing w:after="0"/>
        <w:ind w:left="0"/>
        <w:textAlignment w:val="baseline"/>
        <w:rPr>
          <w:rFonts w:ascii="Arial" w:eastAsia="Times New Roman" w:hAnsi="Arial" w:cs="Arial"/>
          <w:color w:val="FF0000"/>
          <w:lang w:eastAsia="en-GB"/>
        </w:rPr>
      </w:pPr>
      <w:r w:rsidRPr="00B63AC5">
        <w:rPr>
          <w:rFonts w:ascii="Arial" w:eastAsia="Times New Roman" w:hAnsi="Arial" w:cs="Arial"/>
          <w:lang w:eastAsia="en-GB"/>
        </w:rPr>
        <w:t xml:space="preserve">The Section 20 consultation process for relevant properties and customers is covered in the </w:t>
      </w:r>
      <w:r w:rsidR="00F67518" w:rsidRPr="00CF3F22">
        <w:rPr>
          <w:rFonts w:ascii="Arial" w:eastAsia="Times New Roman" w:hAnsi="Arial" w:cs="Arial"/>
          <w:lang w:eastAsia="en-GB"/>
        </w:rPr>
        <w:t>Asset Management Strategy.</w:t>
      </w:r>
    </w:p>
    <w:p w14:paraId="67230984" w14:textId="77777777" w:rsidR="00B63AC5" w:rsidRPr="00B63AC5" w:rsidRDefault="00B63AC5" w:rsidP="00B63AC5">
      <w:pPr>
        <w:spacing w:after="0"/>
        <w:ind w:left="0"/>
        <w:jc w:val="left"/>
        <w:textAlignment w:val="baseline"/>
        <w:rPr>
          <w:rFonts w:ascii="Arial" w:eastAsia="Times New Roman" w:hAnsi="Arial" w:cs="Arial"/>
          <w:lang w:eastAsia="en-GB"/>
        </w:rPr>
      </w:pPr>
      <w:r w:rsidRPr="00B63AC5">
        <w:rPr>
          <w:rFonts w:ascii="Arial" w:eastAsia="Times New Roman" w:hAnsi="Arial" w:cs="Arial"/>
          <w:lang w:eastAsia="en-GB"/>
        </w:rPr>
        <w:t> </w:t>
      </w:r>
    </w:p>
    <w:p w14:paraId="4630E97D" w14:textId="77777777" w:rsidR="00B63AC5" w:rsidRPr="00B63AC5" w:rsidRDefault="00B63AC5" w:rsidP="00B63AC5">
      <w:pPr>
        <w:spacing w:after="0"/>
        <w:ind w:left="0"/>
        <w:jc w:val="left"/>
        <w:textAlignment w:val="baseline"/>
        <w:rPr>
          <w:rFonts w:ascii="Arial" w:eastAsia="Times New Roman" w:hAnsi="Arial" w:cs="Arial"/>
          <w:lang w:eastAsia="en-GB"/>
        </w:rPr>
      </w:pPr>
      <w:r w:rsidRPr="00B63AC5">
        <w:rPr>
          <w:rFonts w:ascii="Arial" w:eastAsia="Times New Roman" w:hAnsi="Arial" w:cs="Arial"/>
          <w:b/>
          <w:bCs/>
          <w:lang w:eastAsia="en-GB"/>
        </w:rPr>
        <w:t>Section 20B Time limit on making demands</w:t>
      </w:r>
      <w:r w:rsidRPr="00B63AC5">
        <w:rPr>
          <w:rFonts w:ascii="Arial" w:eastAsia="Times New Roman" w:hAnsi="Arial" w:cs="Arial"/>
          <w:lang w:eastAsia="en-GB"/>
        </w:rPr>
        <w:t> </w:t>
      </w:r>
    </w:p>
    <w:p w14:paraId="5D7A46C3" w14:textId="6C201988"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Demands for service charge payments must be made within 18 months of those costs b</w:t>
      </w:r>
      <w:r w:rsidR="00B27D5F">
        <w:rPr>
          <w:rFonts w:ascii="Arial" w:eastAsia="Times New Roman" w:hAnsi="Arial" w:cs="Arial"/>
          <w:lang w:eastAsia="en-GB"/>
        </w:rPr>
        <w:t>e</w:t>
      </w:r>
      <w:r w:rsidRPr="00B63AC5">
        <w:rPr>
          <w:rFonts w:ascii="Arial" w:eastAsia="Times New Roman" w:hAnsi="Arial" w:cs="Arial"/>
          <w:lang w:eastAsia="en-GB"/>
        </w:rPr>
        <w:t>ing incurred</w:t>
      </w:r>
      <w:r w:rsidR="00B27D5F">
        <w:rPr>
          <w:rFonts w:ascii="Arial" w:eastAsia="Times New Roman" w:hAnsi="Arial" w:cs="Arial"/>
          <w:lang w:eastAsia="en-GB"/>
        </w:rPr>
        <w:t xml:space="preserve"> by WCHG</w:t>
      </w:r>
      <w:r w:rsidRPr="00B63AC5">
        <w:rPr>
          <w:rFonts w:ascii="Arial" w:eastAsia="Times New Roman" w:hAnsi="Arial" w:cs="Arial"/>
          <w:lang w:eastAsia="en-GB"/>
        </w:rPr>
        <w:t xml:space="preserve">.  Costs are not recoverable if incurred more than 18 months after demanded. Customers on a variable agreement will receive year end accounts within 6 months of the year end.  If we cannot send out the year end accounts within 6 months of the year end, then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will send a Section 20B notice which lists all estimated year end invoices. </w:t>
      </w:r>
    </w:p>
    <w:p w14:paraId="36F98553"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1D7C9CDE" w14:textId="77777777" w:rsidR="00B63AC5" w:rsidRPr="00B63AC5" w:rsidRDefault="00B63AC5" w:rsidP="00B63AC5">
      <w:pPr>
        <w:spacing w:after="0"/>
        <w:ind w:left="0"/>
        <w:jc w:val="left"/>
        <w:textAlignment w:val="baseline"/>
        <w:rPr>
          <w:rFonts w:ascii="Arial" w:eastAsia="Times New Roman" w:hAnsi="Arial" w:cs="Arial"/>
          <w:lang w:eastAsia="en-GB"/>
        </w:rPr>
      </w:pPr>
      <w:r w:rsidRPr="00B63AC5">
        <w:rPr>
          <w:rFonts w:ascii="Arial" w:eastAsia="Times New Roman" w:hAnsi="Arial" w:cs="Arial"/>
          <w:b/>
          <w:bCs/>
          <w:lang w:eastAsia="en-GB"/>
        </w:rPr>
        <w:t>Section 21 (1) Service charge information</w:t>
      </w:r>
      <w:r w:rsidRPr="00B63AC5">
        <w:rPr>
          <w:rFonts w:ascii="Arial" w:eastAsia="Times New Roman" w:hAnsi="Arial" w:cs="Arial"/>
          <w:lang w:eastAsia="en-GB"/>
        </w:rPr>
        <w:t> </w:t>
      </w:r>
    </w:p>
    <w:p w14:paraId="509AB0B6" w14:textId="77777777" w:rsidR="00B63AC5" w:rsidRPr="00B63AC5" w:rsidRDefault="00B63AC5" w:rsidP="00527FF5">
      <w:pPr>
        <w:spacing w:after="0"/>
        <w:ind w:left="0"/>
        <w:jc w:val="left"/>
        <w:textAlignment w:val="baseline"/>
        <w:rPr>
          <w:rFonts w:ascii="Arial" w:eastAsia="Times New Roman" w:hAnsi="Arial" w:cs="Arial"/>
          <w:lang w:eastAsia="en-GB"/>
        </w:rPr>
      </w:pPr>
      <w:r w:rsidRPr="00B63AC5">
        <w:rPr>
          <w:rFonts w:ascii="Arial" w:eastAsia="Times New Roman" w:hAnsi="Arial" w:cs="Arial"/>
          <w:lang w:eastAsia="en-GB"/>
        </w:rPr>
        <w:t xml:space="preserve">Tenants or recognised Tenants association can request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to provide a summary of service charge costs. Once the request is received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must provide the information within one month or within six months of the year end, whichever is later. </w:t>
      </w:r>
    </w:p>
    <w:p w14:paraId="597A1B92"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3C8087A1" w14:textId="77777777" w:rsidR="00B63AC5" w:rsidRPr="00B63AC5" w:rsidRDefault="00B63AC5" w:rsidP="00B63AC5">
      <w:pPr>
        <w:spacing w:after="0"/>
        <w:ind w:left="0"/>
        <w:jc w:val="left"/>
        <w:textAlignment w:val="baseline"/>
        <w:rPr>
          <w:rFonts w:ascii="Arial" w:eastAsia="Times New Roman" w:hAnsi="Arial" w:cs="Arial"/>
          <w:lang w:eastAsia="en-GB"/>
        </w:rPr>
      </w:pPr>
      <w:r w:rsidRPr="00B63AC5">
        <w:rPr>
          <w:rFonts w:ascii="Arial" w:eastAsia="Times New Roman" w:hAnsi="Arial" w:cs="Arial"/>
          <w:b/>
          <w:bCs/>
          <w:lang w:eastAsia="en-GB"/>
        </w:rPr>
        <w:t>Section 21 (6) Service charge information</w:t>
      </w:r>
      <w:r w:rsidRPr="00B63AC5">
        <w:rPr>
          <w:rFonts w:ascii="Arial" w:eastAsia="Times New Roman" w:hAnsi="Arial" w:cs="Arial"/>
          <w:lang w:eastAsia="en-GB"/>
        </w:rPr>
        <w:t> </w:t>
      </w:r>
    </w:p>
    <w:p w14:paraId="142A82D1" w14:textId="3B9AAE70"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xml:space="preserve">The </w:t>
      </w:r>
      <w:r w:rsidR="00E2741F">
        <w:rPr>
          <w:rFonts w:ascii="Arial" w:eastAsia="Times New Roman" w:hAnsi="Arial" w:cs="Arial"/>
          <w:lang w:eastAsia="en-GB"/>
        </w:rPr>
        <w:t xml:space="preserve">relevant WCHG </w:t>
      </w:r>
      <w:r w:rsidRPr="00B63AC5">
        <w:rPr>
          <w:rFonts w:ascii="Arial" w:eastAsia="Times New Roman" w:hAnsi="Arial" w:cs="Arial"/>
          <w:lang w:eastAsia="en-GB"/>
        </w:rPr>
        <w:t>contract Manager retains the overall responsibility for the implementation and its delivery of the Section 20 process. </w:t>
      </w:r>
    </w:p>
    <w:p w14:paraId="3DE94EEA"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w:t>
      </w:r>
    </w:p>
    <w:p w14:paraId="3A852952" w14:textId="77777777" w:rsidR="00B63AC5" w:rsidRP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b/>
          <w:bCs/>
          <w:lang w:eastAsia="en-GB"/>
        </w:rPr>
        <w:t>Section 22 Request to inspect supporting accounts.</w:t>
      </w:r>
      <w:r w:rsidRPr="00B63AC5">
        <w:rPr>
          <w:rFonts w:ascii="Arial" w:eastAsia="Times New Roman" w:hAnsi="Arial" w:cs="Arial"/>
          <w:lang w:eastAsia="en-GB"/>
        </w:rPr>
        <w:t> </w:t>
      </w:r>
    </w:p>
    <w:p w14:paraId="218EFF1D" w14:textId="77777777" w:rsidR="00B63AC5" w:rsidRPr="00B63AC5" w:rsidRDefault="00B63AC5" w:rsidP="00B63AC5">
      <w:pPr>
        <w:spacing w:after="0"/>
        <w:ind w:left="0"/>
        <w:textAlignment w:val="baseline"/>
        <w:rPr>
          <w:rFonts w:ascii="Arial" w:eastAsia="Times New Roman" w:hAnsi="Arial" w:cs="Arial"/>
          <w:lang w:eastAsia="en-GB"/>
        </w:rPr>
      </w:pPr>
    </w:p>
    <w:p w14:paraId="05DDCA97" w14:textId="77777777" w:rsidR="00B63AC5" w:rsidRDefault="00B63AC5" w:rsidP="00B63AC5">
      <w:pPr>
        <w:spacing w:after="0"/>
        <w:ind w:left="0"/>
        <w:textAlignment w:val="baseline"/>
        <w:rPr>
          <w:rFonts w:ascii="Arial" w:eastAsia="Times New Roman" w:hAnsi="Arial" w:cs="Arial"/>
          <w:lang w:eastAsia="en-GB"/>
        </w:rPr>
      </w:pPr>
      <w:r w:rsidRPr="00B63AC5">
        <w:rPr>
          <w:rFonts w:ascii="Arial" w:eastAsia="Times New Roman" w:hAnsi="Arial" w:cs="Arial"/>
          <w:lang w:eastAsia="en-GB"/>
        </w:rPr>
        <w:t xml:space="preserve">Tenants have the right to inspect documents relating to their service charges within a period of six months from receipt of the summary, the service charge payer (or the secretary of a recognised tenants’ association) may require access to and inspection of the accounts, receipts and any other documents relating to the service charge information.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will make such information available for inspection or in the case of another provider holding such information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will supply the name and address of the freeholder or superior landlord. </w:t>
      </w:r>
      <w:r w:rsidR="00527FF5" w:rsidRPr="00527FF5">
        <w:rPr>
          <w:rFonts w:ascii="Arial" w:eastAsia="Times New Roman" w:hAnsi="Arial" w:cs="Arial"/>
          <w:lang w:eastAsia="en-GB"/>
        </w:rPr>
        <w:t>WCHG</w:t>
      </w:r>
      <w:r w:rsidRPr="00B63AC5">
        <w:rPr>
          <w:rFonts w:ascii="Arial" w:eastAsia="Times New Roman" w:hAnsi="Arial" w:cs="Arial"/>
          <w:lang w:eastAsia="en-GB"/>
        </w:rPr>
        <w:t xml:space="preserve"> will provide facilities for documents to be copied, we may charge a fee for printing invoices. </w:t>
      </w:r>
    </w:p>
    <w:p w14:paraId="28B1A82C" w14:textId="77777777" w:rsidR="00BE3D12" w:rsidRPr="00B63AC5" w:rsidRDefault="00BE3D12" w:rsidP="00B63AC5">
      <w:pPr>
        <w:spacing w:after="0"/>
        <w:ind w:left="0"/>
        <w:textAlignment w:val="baseline"/>
        <w:rPr>
          <w:rFonts w:ascii="Arial" w:eastAsia="Times New Roman" w:hAnsi="Arial" w:cs="Arial"/>
          <w:lang w:eastAsia="en-GB"/>
        </w:rPr>
      </w:pPr>
    </w:p>
    <w:p w14:paraId="428D64FE" w14:textId="77188C1C" w:rsidR="00B63AC5" w:rsidRDefault="00527FF5" w:rsidP="00BA1E24">
      <w:pPr>
        <w:spacing w:after="3" w:line="291" w:lineRule="auto"/>
        <w:ind w:left="-5" w:hanging="10"/>
        <w:jc w:val="left"/>
        <w:rPr>
          <w:rFonts w:ascii="Arial" w:eastAsia="Arial" w:hAnsi="Arial" w:cs="Arial"/>
          <w:color w:val="000000" w:themeColor="text1"/>
          <w:lang w:eastAsia="en-GB"/>
        </w:rPr>
      </w:pPr>
      <w:r w:rsidRPr="00527FF5">
        <w:rPr>
          <w:rFonts w:ascii="Arial" w:eastAsia="Arial" w:hAnsi="Arial" w:cs="Arial"/>
          <w:color w:val="000000" w:themeColor="text1"/>
          <w:lang w:eastAsia="en-GB"/>
        </w:rPr>
        <w:t>WCHG will work with tenants</w:t>
      </w:r>
      <w:r w:rsidR="00635AF2">
        <w:rPr>
          <w:rFonts w:ascii="Arial" w:eastAsia="Arial" w:hAnsi="Arial" w:cs="Arial"/>
          <w:color w:val="000000" w:themeColor="text1"/>
          <w:lang w:eastAsia="en-GB"/>
        </w:rPr>
        <w:t xml:space="preserve"> and residents</w:t>
      </w:r>
      <w:r w:rsidRPr="00527FF5">
        <w:rPr>
          <w:rFonts w:ascii="Arial" w:eastAsia="Arial" w:hAnsi="Arial" w:cs="Arial"/>
          <w:color w:val="000000" w:themeColor="text1"/>
          <w:lang w:eastAsia="en-GB"/>
        </w:rPr>
        <w:t xml:space="preserve"> to ensure clarity of explanations regarding the interpretation of documents and calculation met</w:t>
      </w:r>
      <w:r>
        <w:rPr>
          <w:rFonts w:ascii="Arial" w:eastAsia="Arial" w:hAnsi="Arial" w:cs="Arial"/>
          <w:color w:val="000000" w:themeColor="text1"/>
          <w:lang w:eastAsia="en-GB"/>
        </w:rPr>
        <w:t>h</w:t>
      </w:r>
      <w:r w:rsidRPr="00527FF5">
        <w:rPr>
          <w:rFonts w:ascii="Arial" w:eastAsia="Arial" w:hAnsi="Arial" w:cs="Arial"/>
          <w:color w:val="000000" w:themeColor="text1"/>
          <w:lang w:eastAsia="en-GB"/>
        </w:rPr>
        <w:t>ods.</w:t>
      </w:r>
    </w:p>
    <w:p w14:paraId="212A095B" w14:textId="77777777" w:rsidR="00FE11F9" w:rsidRDefault="00291358" w:rsidP="00EA666A">
      <w:pPr>
        <w:spacing w:after="3" w:line="291" w:lineRule="auto"/>
        <w:ind w:left="-5" w:hanging="10"/>
        <w:jc w:val="left"/>
        <w:rPr>
          <w:rFonts w:ascii="Arial" w:eastAsia="Arial" w:hAnsi="Arial" w:cs="Arial"/>
          <w:b/>
          <w:color w:val="000000" w:themeColor="text1"/>
          <w:lang w:eastAsia="en-GB"/>
        </w:rPr>
      </w:pPr>
      <w:r>
        <w:rPr>
          <w:rFonts w:ascii="Arial" w:eastAsia="Arial" w:hAnsi="Arial" w:cs="Arial"/>
          <w:b/>
          <w:color w:val="000000" w:themeColor="text1"/>
          <w:lang w:eastAsia="en-GB"/>
        </w:rPr>
        <w:lastRenderedPageBreak/>
        <w:t xml:space="preserve">5.0 </w:t>
      </w:r>
      <w:r w:rsidR="00111FAC" w:rsidRPr="00111FAC">
        <w:rPr>
          <w:rFonts w:ascii="Arial" w:eastAsia="Arial" w:hAnsi="Arial" w:cs="Arial"/>
          <w:b/>
          <w:color w:val="000000" w:themeColor="text1"/>
          <w:lang w:eastAsia="en-GB"/>
        </w:rPr>
        <w:t>Policy</w:t>
      </w:r>
      <w:r w:rsidR="00643379">
        <w:rPr>
          <w:rFonts w:ascii="Arial" w:eastAsia="Arial" w:hAnsi="Arial" w:cs="Arial"/>
          <w:b/>
          <w:color w:val="000000" w:themeColor="text1"/>
          <w:lang w:eastAsia="en-GB"/>
        </w:rPr>
        <w:t xml:space="preserve"> and Methodology</w:t>
      </w:r>
    </w:p>
    <w:p w14:paraId="64B5B2E9" w14:textId="77777777" w:rsidR="00012BB1" w:rsidRDefault="00012BB1" w:rsidP="00EA666A">
      <w:pPr>
        <w:spacing w:after="3" w:line="291" w:lineRule="auto"/>
        <w:ind w:left="-5" w:hanging="10"/>
        <w:jc w:val="left"/>
        <w:rPr>
          <w:rFonts w:ascii="Arial" w:eastAsia="Arial" w:hAnsi="Arial" w:cs="Arial"/>
          <w:b/>
          <w:color w:val="000000" w:themeColor="text1"/>
          <w:lang w:eastAsia="en-GB"/>
        </w:rPr>
      </w:pPr>
    </w:p>
    <w:p w14:paraId="299D8018" w14:textId="77777777" w:rsidR="00AD1AF5" w:rsidRDefault="00291358" w:rsidP="00AD1AF5">
      <w:pPr>
        <w:ind w:left="0"/>
        <w:rPr>
          <w:rFonts w:ascii="Arial" w:eastAsia="Times New Roman" w:hAnsi="Arial" w:cs="Arial"/>
          <w:b/>
          <w:lang w:eastAsia="en-GB"/>
        </w:rPr>
      </w:pPr>
      <w:r>
        <w:rPr>
          <w:rFonts w:ascii="Arial" w:eastAsia="Times New Roman" w:hAnsi="Arial" w:cs="Arial"/>
          <w:b/>
          <w:lang w:eastAsia="en-GB"/>
        </w:rPr>
        <w:t xml:space="preserve">5.1 </w:t>
      </w:r>
      <w:r w:rsidR="00AD1AF5" w:rsidRPr="006A1BDC">
        <w:rPr>
          <w:rFonts w:ascii="Arial" w:eastAsia="Times New Roman" w:hAnsi="Arial" w:cs="Arial"/>
          <w:b/>
          <w:lang w:eastAsia="en-GB"/>
        </w:rPr>
        <w:t>How Service Charges</w:t>
      </w:r>
      <w:r w:rsidR="00051C41">
        <w:rPr>
          <w:rFonts w:ascii="Arial" w:eastAsia="Times New Roman" w:hAnsi="Arial" w:cs="Arial"/>
          <w:b/>
          <w:lang w:eastAsia="en-GB"/>
        </w:rPr>
        <w:t xml:space="preserve"> Will</w:t>
      </w:r>
      <w:r w:rsidR="00AD1AF5" w:rsidRPr="006A1BDC">
        <w:rPr>
          <w:rFonts w:ascii="Arial" w:eastAsia="Times New Roman" w:hAnsi="Arial" w:cs="Arial"/>
          <w:b/>
          <w:lang w:eastAsia="en-GB"/>
        </w:rPr>
        <w:t xml:space="preserve"> Work</w:t>
      </w:r>
    </w:p>
    <w:p w14:paraId="1A47DE54" w14:textId="7383B58A" w:rsidR="00AD1AF5" w:rsidRDefault="00AD1AF5" w:rsidP="00AD1AF5">
      <w:pPr>
        <w:ind w:left="0"/>
        <w:rPr>
          <w:rFonts w:ascii="Arial" w:eastAsia="Times New Roman" w:hAnsi="Arial" w:cs="Arial"/>
          <w:lang w:eastAsia="en-GB"/>
        </w:rPr>
      </w:pPr>
      <w:r w:rsidRPr="006A1BDC">
        <w:rPr>
          <w:rFonts w:ascii="Arial" w:eastAsia="Times New Roman" w:hAnsi="Arial" w:cs="Arial"/>
          <w:lang w:eastAsia="en-GB"/>
        </w:rPr>
        <w:t>Each year WCHG will give a best estimate for the required service charges for the coming financial year.</w:t>
      </w:r>
      <w:r w:rsidR="00887626">
        <w:rPr>
          <w:rFonts w:ascii="Arial" w:eastAsia="Times New Roman" w:hAnsi="Arial" w:cs="Arial"/>
          <w:lang w:eastAsia="en-GB"/>
        </w:rPr>
        <w:t xml:space="preserve"> </w:t>
      </w:r>
      <w:r w:rsidR="00396B89">
        <w:rPr>
          <w:rFonts w:ascii="Arial" w:eastAsia="Times New Roman" w:hAnsi="Arial" w:cs="Arial"/>
          <w:lang w:eastAsia="en-GB"/>
        </w:rPr>
        <w:t>The WCHG financial year runs from 1</w:t>
      </w:r>
      <w:r w:rsidR="00396B89" w:rsidRPr="00396B89">
        <w:rPr>
          <w:rFonts w:ascii="Arial" w:eastAsia="Times New Roman" w:hAnsi="Arial" w:cs="Arial"/>
          <w:vertAlign w:val="superscript"/>
          <w:lang w:eastAsia="en-GB"/>
        </w:rPr>
        <w:t>st</w:t>
      </w:r>
      <w:r w:rsidR="00396B89">
        <w:rPr>
          <w:rFonts w:ascii="Arial" w:eastAsia="Times New Roman" w:hAnsi="Arial" w:cs="Arial"/>
          <w:lang w:eastAsia="en-GB"/>
        </w:rPr>
        <w:t xml:space="preserve"> April to 31</w:t>
      </w:r>
      <w:r w:rsidR="00396B89" w:rsidRPr="00396B89">
        <w:rPr>
          <w:rFonts w:ascii="Arial" w:eastAsia="Times New Roman" w:hAnsi="Arial" w:cs="Arial"/>
          <w:vertAlign w:val="superscript"/>
          <w:lang w:eastAsia="en-GB"/>
        </w:rPr>
        <w:t>st</w:t>
      </w:r>
      <w:r w:rsidR="00396B89">
        <w:rPr>
          <w:rFonts w:ascii="Arial" w:eastAsia="Times New Roman" w:hAnsi="Arial" w:cs="Arial"/>
          <w:lang w:eastAsia="en-GB"/>
        </w:rPr>
        <w:t xml:space="preserve"> March.</w:t>
      </w:r>
    </w:p>
    <w:p w14:paraId="52290C8A" w14:textId="77777777" w:rsidR="006E284F" w:rsidRPr="00EE4A64" w:rsidRDefault="006E284F" w:rsidP="006E284F">
      <w:pPr>
        <w:spacing w:after="3" w:line="291" w:lineRule="auto"/>
        <w:ind w:left="-5" w:hanging="10"/>
        <w:jc w:val="left"/>
        <w:rPr>
          <w:rFonts w:ascii="Arial" w:eastAsia="Arial" w:hAnsi="Arial" w:cs="Arial"/>
          <w:color w:val="000000" w:themeColor="text1"/>
          <w:lang w:eastAsia="en-GB"/>
        </w:rPr>
      </w:pPr>
      <w:r w:rsidRPr="00EE4A64">
        <w:rPr>
          <w:rFonts w:ascii="Arial" w:eastAsia="Arial" w:hAnsi="Arial" w:cs="Arial"/>
          <w:color w:val="000000" w:themeColor="text1"/>
          <w:lang w:eastAsia="en-GB"/>
        </w:rPr>
        <w:t xml:space="preserve">All calculations of service charges are based on services received. If the property is within a block, costs will be based on </w:t>
      </w:r>
      <w:r w:rsidR="00BE3D12">
        <w:rPr>
          <w:rFonts w:ascii="Arial" w:eastAsia="Arial" w:hAnsi="Arial" w:cs="Arial"/>
          <w:color w:val="000000" w:themeColor="text1"/>
          <w:lang w:eastAsia="en-GB"/>
        </w:rPr>
        <w:t xml:space="preserve">an equal </w:t>
      </w:r>
      <w:r w:rsidRPr="00EE4A64">
        <w:rPr>
          <w:rFonts w:ascii="Arial" w:eastAsia="Arial" w:hAnsi="Arial" w:cs="Arial"/>
          <w:color w:val="000000" w:themeColor="text1"/>
          <w:lang w:eastAsia="en-GB"/>
        </w:rPr>
        <w:t>apportionment of the services received. Where the level of service changes, after consultation with tenants, an adjustment will be made to the charges at the point at which the service delivery changes.</w:t>
      </w:r>
    </w:p>
    <w:p w14:paraId="0BD2E3AD" w14:textId="77777777" w:rsidR="00E83904" w:rsidRDefault="00E83904" w:rsidP="00AD1AF5">
      <w:pPr>
        <w:spacing w:after="0"/>
        <w:ind w:left="0"/>
        <w:rPr>
          <w:rFonts w:ascii="Arial" w:eastAsia="Times New Roman" w:hAnsi="Arial" w:cs="Arial"/>
          <w:lang w:eastAsia="en-GB"/>
        </w:rPr>
      </w:pPr>
    </w:p>
    <w:p w14:paraId="347519A6" w14:textId="77777777" w:rsidR="00AD1AF5" w:rsidRPr="006A1BDC" w:rsidRDefault="00AD1AF5" w:rsidP="00AD1AF5">
      <w:pPr>
        <w:spacing w:after="0"/>
        <w:ind w:left="0"/>
        <w:rPr>
          <w:rFonts w:ascii="Arial" w:eastAsia="Times New Roman" w:hAnsi="Arial" w:cs="Arial"/>
          <w:lang w:eastAsia="en-GB"/>
        </w:rPr>
      </w:pPr>
      <w:r w:rsidRPr="006A1BDC">
        <w:rPr>
          <w:rFonts w:ascii="Arial" w:eastAsia="Times New Roman" w:hAnsi="Arial" w:cs="Arial"/>
          <w:lang w:eastAsia="en-GB"/>
        </w:rPr>
        <w:t xml:space="preserve">Prior to the start of the new financial year WCHG will send a notice to </w:t>
      </w:r>
      <w:r>
        <w:rPr>
          <w:rFonts w:ascii="Arial" w:eastAsia="Times New Roman" w:hAnsi="Arial" w:cs="Arial"/>
          <w:lang w:eastAsia="en-GB"/>
        </w:rPr>
        <w:t>customers who pay service charges</w:t>
      </w:r>
      <w:r w:rsidRPr="006A1BDC">
        <w:rPr>
          <w:rFonts w:ascii="Arial" w:eastAsia="Times New Roman" w:hAnsi="Arial" w:cs="Arial"/>
          <w:lang w:eastAsia="en-GB"/>
        </w:rPr>
        <w:t xml:space="preserve"> detailing their estimated service charges.</w:t>
      </w:r>
    </w:p>
    <w:p w14:paraId="0B65B8D2" w14:textId="77777777" w:rsidR="00AD1AF5" w:rsidRPr="006A1BDC" w:rsidRDefault="00AD1AF5" w:rsidP="00AD1AF5">
      <w:pPr>
        <w:spacing w:after="0"/>
        <w:ind w:left="0"/>
        <w:rPr>
          <w:rFonts w:ascii="Arial" w:eastAsia="Times New Roman" w:hAnsi="Arial" w:cs="Arial"/>
          <w:lang w:eastAsia="en-GB"/>
        </w:rPr>
      </w:pPr>
    </w:p>
    <w:p w14:paraId="586FF6A7" w14:textId="77777777" w:rsidR="00AD1AF5" w:rsidRPr="006A1BDC" w:rsidRDefault="00AD1AF5" w:rsidP="00AD1AF5">
      <w:pPr>
        <w:spacing w:after="0"/>
        <w:ind w:left="0"/>
        <w:rPr>
          <w:rFonts w:ascii="Arial" w:eastAsia="Times New Roman" w:hAnsi="Arial" w:cs="Arial"/>
          <w:lang w:eastAsia="en-GB"/>
        </w:rPr>
      </w:pPr>
      <w:r w:rsidRPr="006A1BDC">
        <w:rPr>
          <w:rFonts w:ascii="Arial" w:eastAsia="Times New Roman" w:hAnsi="Arial" w:cs="Arial"/>
          <w:lang w:eastAsia="en-GB"/>
        </w:rPr>
        <w:t>The notice will include:-</w:t>
      </w:r>
    </w:p>
    <w:p w14:paraId="5A563E81" w14:textId="77777777" w:rsidR="00AD1AF5" w:rsidRPr="001A7833" w:rsidRDefault="00AD1AF5" w:rsidP="00AD1AF5">
      <w:pPr>
        <w:pStyle w:val="ListParagraph"/>
        <w:numPr>
          <w:ilvl w:val="0"/>
          <w:numId w:val="12"/>
        </w:numPr>
        <w:spacing w:before="60" w:after="60"/>
        <w:jc w:val="left"/>
        <w:rPr>
          <w:rFonts w:ascii="Arial" w:eastAsia="Times New Roman" w:hAnsi="Arial" w:cs="Arial"/>
          <w:lang w:eastAsia="en-GB"/>
        </w:rPr>
      </w:pPr>
      <w:r w:rsidRPr="001A7833">
        <w:rPr>
          <w:rFonts w:ascii="Arial" w:eastAsia="Times New Roman" w:hAnsi="Arial" w:cs="Arial"/>
          <w:lang w:eastAsia="en-GB"/>
        </w:rPr>
        <w:t xml:space="preserve">a clear and accurate demand for payment of the estimated service charges in a format in line with the agreement </w:t>
      </w:r>
    </w:p>
    <w:p w14:paraId="39A8D2E6" w14:textId="77777777" w:rsidR="00AD1AF5" w:rsidRDefault="00AD1AF5" w:rsidP="00AD1AF5">
      <w:pPr>
        <w:pStyle w:val="ListParagraph"/>
        <w:numPr>
          <w:ilvl w:val="0"/>
          <w:numId w:val="12"/>
        </w:numPr>
        <w:spacing w:before="60" w:after="60"/>
        <w:jc w:val="left"/>
        <w:rPr>
          <w:rFonts w:ascii="Arial" w:eastAsia="Times New Roman" w:hAnsi="Arial" w:cs="Arial"/>
          <w:lang w:eastAsia="en-GB"/>
        </w:rPr>
      </w:pPr>
      <w:r>
        <w:rPr>
          <w:rFonts w:ascii="Arial" w:eastAsia="Times New Roman" w:hAnsi="Arial" w:cs="Arial"/>
          <w:lang w:eastAsia="en-GB"/>
        </w:rPr>
        <w:t>t</w:t>
      </w:r>
      <w:r w:rsidRPr="006A1BDC">
        <w:rPr>
          <w:rFonts w:ascii="Arial" w:eastAsia="Times New Roman" w:hAnsi="Arial" w:cs="Arial"/>
          <w:lang w:eastAsia="en-GB"/>
        </w:rPr>
        <w:t xml:space="preserve">he prescribed sheet which details the </w:t>
      </w:r>
      <w:r w:rsidRPr="001A7833">
        <w:rPr>
          <w:rFonts w:ascii="Arial" w:eastAsia="Times New Roman" w:hAnsi="Arial" w:cs="Arial"/>
          <w:lang w:eastAsia="en-GB"/>
        </w:rPr>
        <w:t>customers</w:t>
      </w:r>
      <w:r w:rsidRPr="006A1BDC">
        <w:rPr>
          <w:rFonts w:ascii="Arial" w:eastAsia="Times New Roman" w:hAnsi="Arial" w:cs="Arial"/>
          <w:lang w:eastAsia="en-GB"/>
        </w:rPr>
        <w:t xml:space="preserve"> rights and obligations</w:t>
      </w:r>
      <w:r w:rsidRPr="001A7833">
        <w:rPr>
          <w:rFonts w:ascii="Arial" w:eastAsia="Times New Roman" w:hAnsi="Arial" w:cs="Arial"/>
          <w:lang w:eastAsia="en-GB"/>
        </w:rPr>
        <w:t xml:space="preserve">, where </w:t>
      </w:r>
      <w:r>
        <w:rPr>
          <w:rFonts w:ascii="Arial" w:eastAsia="Times New Roman" w:hAnsi="Arial" w:cs="Arial"/>
          <w:lang w:eastAsia="en-GB"/>
        </w:rPr>
        <w:t>a</w:t>
      </w:r>
      <w:r w:rsidRPr="001A7833">
        <w:rPr>
          <w:rFonts w:ascii="Arial" w:eastAsia="Times New Roman" w:hAnsi="Arial" w:cs="Arial"/>
          <w:lang w:eastAsia="en-GB"/>
        </w:rPr>
        <w:t>pplicable</w:t>
      </w:r>
      <w:r>
        <w:rPr>
          <w:rFonts w:ascii="Arial" w:eastAsia="Times New Roman" w:hAnsi="Arial" w:cs="Arial"/>
          <w:lang w:eastAsia="en-GB"/>
        </w:rPr>
        <w:t xml:space="preserve"> </w:t>
      </w:r>
    </w:p>
    <w:p w14:paraId="1CAF9AF2" w14:textId="77777777" w:rsidR="00AD1AF5" w:rsidRPr="001A7833" w:rsidRDefault="00AD1AF5" w:rsidP="00AD1AF5">
      <w:pPr>
        <w:pStyle w:val="ListParagraph"/>
        <w:numPr>
          <w:ilvl w:val="0"/>
          <w:numId w:val="12"/>
        </w:numPr>
        <w:spacing w:before="60" w:after="60"/>
        <w:jc w:val="left"/>
        <w:rPr>
          <w:rFonts w:ascii="Arial" w:eastAsia="Times New Roman" w:hAnsi="Arial" w:cs="Arial"/>
          <w:lang w:eastAsia="en-GB"/>
        </w:rPr>
      </w:pPr>
      <w:r w:rsidRPr="001A7833">
        <w:rPr>
          <w:rFonts w:ascii="Arial" w:eastAsia="Times New Roman" w:hAnsi="Arial" w:cs="Arial"/>
          <w:lang w:eastAsia="en-GB"/>
        </w:rPr>
        <w:t>guidance notes for customers regarding service charges</w:t>
      </w:r>
    </w:p>
    <w:p w14:paraId="17D80424" w14:textId="77777777" w:rsidR="00CC67AA" w:rsidRDefault="00CC67AA" w:rsidP="00AD1AF5">
      <w:pPr>
        <w:ind w:left="0"/>
        <w:rPr>
          <w:rFonts w:ascii="Arial" w:hAnsi="Arial" w:cs="Arial"/>
        </w:rPr>
      </w:pPr>
    </w:p>
    <w:p w14:paraId="5523A4D4" w14:textId="7BD9B3FC" w:rsidR="00AD1AF5" w:rsidRPr="006A1BDC" w:rsidRDefault="00AD1AF5" w:rsidP="00AD1AF5">
      <w:pPr>
        <w:ind w:left="0"/>
        <w:rPr>
          <w:rFonts w:ascii="Arial" w:hAnsi="Arial" w:cs="Arial"/>
        </w:rPr>
      </w:pPr>
      <w:r w:rsidRPr="006A1BDC">
        <w:rPr>
          <w:rFonts w:ascii="Arial" w:hAnsi="Arial" w:cs="Arial"/>
        </w:rPr>
        <w:t>Direct Debit is the preferred payment method</w:t>
      </w:r>
      <w:r w:rsidR="006C05C4">
        <w:rPr>
          <w:rFonts w:ascii="Arial" w:hAnsi="Arial" w:cs="Arial"/>
        </w:rPr>
        <w:t xml:space="preserve"> for the Group</w:t>
      </w:r>
      <w:r w:rsidRPr="006A1BDC">
        <w:rPr>
          <w:rFonts w:ascii="Arial" w:hAnsi="Arial" w:cs="Arial"/>
        </w:rPr>
        <w:t xml:space="preserve">. WCHG will also provide a range of other payment methods and review these periodically. </w:t>
      </w:r>
      <w:r w:rsidR="006C05C4">
        <w:rPr>
          <w:rFonts w:ascii="Arial" w:hAnsi="Arial" w:cs="Arial"/>
        </w:rPr>
        <w:t>Financial inclusion support is available for those residents who may experience difficulty in paying their service charges.</w:t>
      </w:r>
    </w:p>
    <w:p w14:paraId="53774B5B" w14:textId="77777777" w:rsidR="00AD1AF5" w:rsidRPr="006A1BDC" w:rsidRDefault="00AD1AF5" w:rsidP="00AD1AF5">
      <w:pPr>
        <w:ind w:left="0"/>
        <w:rPr>
          <w:rFonts w:ascii="Arial" w:hAnsi="Arial" w:cs="Arial"/>
        </w:rPr>
      </w:pPr>
      <w:bookmarkStart w:id="1" w:name="_Hlk183507475"/>
      <w:r w:rsidRPr="006A1BDC">
        <w:rPr>
          <w:rFonts w:ascii="Arial" w:hAnsi="Arial" w:cs="Arial"/>
        </w:rPr>
        <w:t xml:space="preserve">Following the end of the financial year, and no later than six months from that date WCHG will provide annual statements of </w:t>
      </w:r>
      <w:r>
        <w:rPr>
          <w:rFonts w:ascii="Arial" w:hAnsi="Arial" w:cs="Arial"/>
        </w:rPr>
        <w:t>customer</w:t>
      </w:r>
      <w:r w:rsidRPr="006A1BDC">
        <w:rPr>
          <w:rFonts w:ascii="Arial" w:hAnsi="Arial" w:cs="Arial"/>
        </w:rPr>
        <w:t xml:space="preserve"> service charge accounts</w:t>
      </w:r>
    </w:p>
    <w:p w14:paraId="2292C2F1" w14:textId="77777777" w:rsidR="00AD1AF5" w:rsidRPr="006A1BDC" w:rsidRDefault="00AD1AF5" w:rsidP="00AD1AF5">
      <w:pPr>
        <w:ind w:left="0"/>
        <w:rPr>
          <w:rFonts w:ascii="Arial" w:hAnsi="Arial" w:cs="Arial"/>
        </w:rPr>
      </w:pPr>
      <w:r w:rsidRPr="006A1BDC">
        <w:rPr>
          <w:rFonts w:ascii="Arial" w:hAnsi="Arial" w:cs="Arial"/>
        </w:rPr>
        <w:t>The statement of accounts will include:-</w:t>
      </w:r>
    </w:p>
    <w:p w14:paraId="734D6C11" w14:textId="77777777" w:rsidR="00AD1AF5" w:rsidRPr="007039CA" w:rsidRDefault="00AD1AF5" w:rsidP="00AD1AF5">
      <w:pPr>
        <w:pStyle w:val="ListParagraph"/>
        <w:numPr>
          <w:ilvl w:val="0"/>
          <w:numId w:val="11"/>
        </w:numPr>
        <w:rPr>
          <w:rFonts w:ascii="Arial" w:hAnsi="Arial" w:cs="Arial"/>
        </w:rPr>
      </w:pPr>
      <w:r w:rsidRPr="007039CA">
        <w:rPr>
          <w:rFonts w:ascii="Arial" w:hAnsi="Arial" w:cs="Arial"/>
        </w:rPr>
        <w:t>the actual expenditure costs for the block (if applicable) and individual property</w:t>
      </w:r>
    </w:p>
    <w:p w14:paraId="7C37C42E" w14:textId="77777777" w:rsidR="00AD1AF5" w:rsidRPr="007039CA" w:rsidRDefault="00AD1AF5" w:rsidP="00AD1AF5">
      <w:pPr>
        <w:pStyle w:val="ListParagraph"/>
        <w:numPr>
          <w:ilvl w:val="0"/>
          <w:numId w:val="11"/>
        </w:numPr>
        <w:rPr>
          <w:rFonts w:ascii="Arial" w:hAnsi="Arial" w:cs="Arial"/>
        </w:rPr>
      </w:pPr>
      <w:r w:rsidRPr="007039CA">
        <w:rPr>
          <w:rFonts w:ascii="Arial" w:hAnsi="Arial" w:cs="Arial"/>
        </w:rPr>
        <w:t>the estimated costs invoiced that year as service charge</w:t>
      </w:r>
    </w:p>
    <w:p w14:paraId="026E0A3B" w14:textId="77777777" w:rsidR="00AD1AF5" w:rsidRPr="007039CA" w:rsidRDefault="00AD1AF5" w:rsidP="00AD1AF5">
      <w:pPr>
        <w:pStyle w:val="ListParagraph"/>
        <w:numPr>
          <w:ilvl w:val="0"/>
          <w:numId w:val="11"/>
        </w:numPr>
        <w:rPr>
          <w:rFonts w:ascii="Arial" w:hAnsi="Arial" w:cs="Arial"/>
        </w:rPr>
      </w:pPr>
      <w:r w:rsidRPr="007039CA">
        <w:rPr>
          <w:rFonts w:ascii="Arial" w:hAnsi="Arial" w:cs="Arial"/>
        </w:rPr>
        <w:t>the difference between the above amounts</w:t>
      </w:r>
    </w:p>
    <w:p w14:paraId="528B341A" w14:textId="77777777" w:rsidR="00AD1AF5" w:rsidRPr="007039CA" w:rsidRDefault="00AD1AF5" w:rsidP="00AD1AF5">
      <w:pPr>
        <w:pStyle w:val="ListParagraph"/>
        <w:numPr>
          <w:ilvl w:val="0"/>
          <w:numId w:val="11"/>
        </w:numPr>
        <w:rPr>
          <w:rFonts w:ascii="Arial" w:hAnsi="Arial" w:cs="Arial"/>
        </w:rPr>
      </w:pPr>
      <w:r w:rsidRPr="007039CA">
        <w:rPr>
          <w:rFonts w:ascii="Arial" w:hAnsi="Arial" w:cs="Arial"/>
        </w:rPr>
        <w:t>the total balance held in the sinking fund (if applicable)</w:t>
      </w:r>
    </w:p>
    <w:p w14:paraId="415AABE7" w14:textId="77777777" w:rsidR="00AD1AF5" w:rsidRPr="00434D7C" w:rsidRDefault="00AD1AF5" w:rsidP="00AD1AF5">
      <w:pPr>
        <w:spacing w:after="0"/>
        <w:ind w:left="0"/>
        <w:rPr>
          <w:rFonts w:ascii="Arial" w:eastAsia="Times New Roman" w:hAnsi="Arial" w:cs="Arial"/>
          <w:lang w:eastAsia="en-GB"/>
        </w:rPr>
      </w:pPr>
      <w:r w:rsidRPr="00434D7C">
        <w:rPr>
          <w:rFonts w:ascii="Arial" w:eastAsia="Times New Roman" w:hAnsi="Arial" w:cs="Arial"/>
          <w:lang w:eastAsia="en-GB"/>
        </w:rPr>
        <w:t xml:space="preserve">Where the actual costs are more than were estimated, the </w:t>
      </w:r>
      <w:r>
        <w:rPr>
          <w:rFonts w:ascii="Arial" w:eastAsia="Times New Roman" w:hAnsi="Arial" w:cs="Arial"/>
          <w:lang w:eastAsia="en-GB"/>
        </w:rPr>
        <w:t>customer wil</w:t>
      </w:r>
      <w:r w:rsidRPr="00434D7C">
        <w:rPr>
          <w:rFonts w:ascii="Arial" w:eastAsia="Times New Roman" w:hAnsi="Arial" w:cs="Arial"/>
          <w:lang w:eastAsia="en-GB"/>
        </w:rPr>
        <w:t>l</w:t>
      </w:r>
      <w:r>
        <w:rPr>
          <w:rFonts w:ascii="Arial" w:eastAsia="Times New Roman" w:hAnsi="Arial" w:cs="Arial"/>
          <w:lang w:eastAsia="en-GB"/>
        </w:rPr>
        <w:t xml:space="preserve"> </w:t>
      </w:r>
      <w:r w:rsidRPr="00434D7C">
        <w:rPr>
          <w:rFonts w:ascii="Arial" w:eastAsia="Times New Roman" w:hAnsi="Arial" w:cs="Arial"/>
          <w:lang w:eastAsia="en-GB"/>
        </w:rPr>
        <w:t xml:space="preserve">be </w:t>
      </w:r>
      <w:r>
        <w:rPr>
          <w:rFonts w:ascii="Arial" w:eastAsia="Times New Roman" w:hAnsi="Arial" w:cs="Arial"/>
          <w:lang w:eastAsia="en-GB"/>
        </w:rPr>
        <w:t>required to pay the difference (a deficit)</w:t>
      </w:r>
      <w:r w:rsidRPr="00434D7C">
        <w:rPr>
          <w:rFonts w:ascii="Arial" w:eastAsia="Times New Roman" w:hAnsi="Arial" w:cs="Arial"/>
          <w:lang w:eastAsia="en-GB"/>
        </w:rPr>
        <w:t>, in line with the</w:t>
      </w:r>
      <w:r>
        <w:rPr>
          <w:rFonts w:ascii="Arial" w:eastAsia="Times New Roman" w:hAnsi="Arial" w:cs="Arial"/>
          <w:lang w:eastAsia="en-GB"/>
        </w:rPr>
        <w:t>ir agreement.  Some customers will be invoiced for the deficit, payable by a specified date, and others will pay it over the following year.</w:t>
      </w:r>
      <w:r w:rsidRPr="00434D7C">
        <w:rPr>
          <w:rFonts w:ascii="Arial" w:eastAsia="Times New Roman" w:hAnsi="Arial" w:cs="Arial"/>
          <w:lang w:eastAsia="en-GB"/>
        </w:rPr>
        <w:t xml:space="preserve"> </w:t>
      </w:r>
      <w:r w:rsidR="00BE3D12">
        <w:rPr>
          <w:rFonts w:ascii="Arial" w:eastAsia="Times New Roman" w:hAnsi="Arial" w:cs="Arial"/>
          <w:lang w:eastAsia="en-GB"/>
        </w:rPr>
        <w:t>WCHG will support customers experiencing financial hardship</w:t>
      </w:r>
      <w:r w:rsidR="009364CE">
        <w:rPr>
          <w:rFonts w:ascii="Arial" w:eastAsia="Times New Roman" w:hAnsi="Arial" w:cs="Arial"/>
          <w:lang w:eastAsia="en-GB"/>
        </w:rPr>
        <w:t xml:space="preserve"> in making payments.</w:t>
      </w:r>
      <w:r w:rsidR="00BE3D12">
        <w:rPr>
          <w:rFonts w:ascii="Arial" w:eastAsia="Times New Roman" w:hAnsi="Arial" w:cs="Arial"/>
          <w:lang w:eastAsia="en-GB"/>
        </w:rPr>
        <w:t xml:space="preserve"> </w:t>
      </w:r>
    </w:p>
    <w:p w14:paraId="4E81A152" w14:textId="77777777" w:rsidR="00AD1AF5" w:rsidRPr="00434D7C" w:rsidRDefault="00AD1AF5" w:rsidP="00AD1AF5">
      <w:pPr>
        <w:spacing w:after="0"/>
        <w:ind w:left="0"/>
        <w:rPr>
          <w:rFonts w:ascii="Arial" w:eastAsia="Times New Roman" w:hAnsi="Arial" w:cs="Arial"/>
          <w:lang w:eastAsia="en-GB"/>
        </w:rPr>
      </w:pPr>
    </w:p>
    <w:p w14:paraId="5E16AFE9" w14:textId="77777777" w:rsidR="00AD1AF5" w:rsidRPr="00434D7C" w:rsidRDefault="00AD1AF5" w:rsidP="00AD1AF5">
      <w:pPr>
        <w:spacing w:after="0"/>
        <w:ind w:left="0"/>
        <w:rPr>
          <w:rFonts w:ascii="Arial" w:eastAsia="Times New Roman" w:hAnsi="Arial" w:cs="Arial"/>
          <w:lang w:eastAsia="en-GB"/>
        </w:rPr>
      </w:pPr>
      <w:r w:rsidRPr="00434D7C">
        <w:rPr>
          <w:rFonts w:ascii="Arial" w:eastAsia="Times New Roman" w:hAnsi="Arial" w:cs="Arial"/>
          <w:lang w:eastAsia="en-GB"/>
        </w:rPr>
        <w:t xml:space="preserve">Where the actual costs for the whole year are less than were estimated, the </w:t>
      </w:r>
      <w:r>
        <w:rPr>
          <w:rFonts w:ascii="Arial" w:eastAsia="Times New Roman" w:hAnsi="Arial" w:cs="Arial"/>
          <w:lang w:eastAsia="en-GB"/>
        </w:rPr>
        <w:t>customer</w:t>
      </w:r>
      <w:r w:rsidRPr="00434D7C">
        <w:rPr>
          <w:rFonts w:ascii="Arial" w:eastAsia="Times New Roman" w:hAnsi="Arial" w:cs="Arial"/>
          <w:lang w:eastAsia="en-GB"/>
        </w:rPr>
        <w:t xml:space="preserve"> will be credited the difference, by way of a credit to their payment account.  </w:t>
      </w:r>
    </w:p>
    <w:p w14:paraId="276777C8" w14:textId="77777777" w:rsidR="00291358" w:rsidRDefault="00291358" w:rsidP="00291358">
      <w:pPr>
        <w:spacing w:after="0"/>
        <w:ind w:left="0"/>
        <w:contextualSpacing/>
        <w:rPr>
          <w:rFonts w:ascii="Arial" w:eastAsia="Times New Roman" w:hAnsi="Arial" w:cs="Arial"/>
          <w:lang w:eastAsia="en-GB"/>
        </w:rPr>
      </w:pPr>
    </w:p>
    <w:p w14:paraId="476AE9FB" w14:textId="77777777" w:rsidR="00947026" w:rsidRPr="00434D7C" w:rsidRDefault="00947026" w:rsidP="00947026">
      <w:pPr>
        <w:spacing w:after="0"/>
        <w:ind w:left="0"/>
        <w:rPr>
          <w:rFonts w:ascii="Arial" w:eastAsia="Times New Roman" w:hAnsi="Arial" w:cs="Arial"/>
          <w:lang w:eastAsia="en-GB"/>
        </w:rPr>
      </w:pPr>
      <w:r w:rsidRPr="00434D7C">
        <w:rPr>
          <w:rFonts w:ascii="Arial" w:eastAsia="Times New Roman" w:hAnsi="Arial" w:cs="Arial"/>
          <w:lang w:eastAsia="en-GB"/>
        </w:rPr>
        <w:t xml:space="preserve">WCHG will serve a section 20B notice if the final accounts will not be available within six months of the end of the financial year.  </w:t>
      </w:r>
    </w:p>
    <w:bookmarkEnd w:id="1"/>
    <w:p w14:paraId="6B9F101B" w14:textId="15D326B8" w:rsidR="00291358" w:rsidRDefault="00291358" w:rsidP="00291358">
      <w:pPr>
        <w:spacing w:after="0"/>
        <w:ind w:left="0"/>
        <w:contextualSpacing/>
        <w:rPr>
          <w:rFonts w:ascii="Arial" w:eastAsia="Times New Roman" w:hAnsi="Arial" w:cs="Arial"/>
          <w:lang w:eastAsia="en-GB"/>
        </w:rPr>
      </w:pPr>
    </w:p>
    <w:p w14:paraId="60812C12" w14:textId="56849677" w:rsidR="009C2838" w:rsidRDefault="009C2838" w:rsidP="00291358">
      <w:pPr>
        <w:spacing w:after="0"/>
        <w:ind w:left="0"/>
        <w:contextualSpacing/>
        <w:rPr>
          <w:rFonts w:ascii="Arial" w:eastAsia="Times New Roman" w:hAnsi="Arial" w:cs="Arial"/>
          <w:lang w:eastAsia="en-GB"/>
        </w:rPr>
      </w:pPr>
    </w:p>
    <w:p w14:paraId="378D2A99" w14:textId="3DA8017B" w:rsidR="009C2838" w:rsidRDefault="009C2838" w:rsidP="00291358">
      <w:pPr>
        <w:spacing w:after="0"/>
        <w:ind w:left="0"/>
        <w:contextualSpacing/>
        <w:rPr>
          <w:rFonts w:ascii="Arial" w:eastAsia="Times New Roman" w:hAnsi="Arial" w:cs="Arial"/>
          <w:lang w:eastAsia="en-GB"/>
        </w:rPr>
      </w:pPr>
    </w:p>
    <w:p w14:paraId="714D939D" w14:textId="4824D643" w:rsidR="009C2838" w:rsidRDefault="009C2838" w:rsidP="00291358">
      <w:pPr>
        <w:spacing w:after="0"/>
        <w:ind w:left="0"/>
        <w:contextualSpacing/>
        <w:rPr>
          <w:rFonts w:ascii="Arial" w:eastAsia="Times New Roman" w:hAnsi="Arial" w:cs="Arial"/>
          <w:lang w:eastAsia="en-GB"/>
        </w:rPr>
      </w:pPr>
    </w:p>
    <w:p w14:paraId="483C954B" w14:textId="77777777" w:rsidR="009C2838" w:rsidRDefault="009C2838" w:rsidP="00291358">
      <w:pPr>
        <w:spacing w:after="0"/>
        <w:ind w:left="0"/>
        <w:contextualSpacing/>
        <w:rPr>
          <w:rFonts w:ascii="Arial" w:eastAsia="Times New Roman" w:hAnsi="Arial" w:cs="Arial"/>
          <w:lang w:eastAsia="en-GB"/>
        </w:rPr>
      </w:pPr>
    </w:p>
    <w:p w14:paraId="60FD23A4" w14:textId="77777777" w:rsidR="00CC67AA" w:rsidRDefault="00CC67AA" w:rsidP="00291358">
      <w:pPr>
        <w:spacing w:after="0"/>
        <w:ind w:left="0"/>
        <w:contextualSpacing/>
        <w:rPr>
          <w:rFonts w:ascii="Arial" w:eastAsia="Times New Roman" w:hAnsi="Arial" w:cs="Arial"/>
          <w:lang w:eastAsia="en-GB"/>
        </w:rPr>
      </w:pPr>
    </w:p>
    <w:p w14:paraId="6A4D301B" w14:textId="77777777" w:rsidR="00A5036C" w:rsidRDefault="00A5036C" w:rsidP="00291358">
      <w:pPr>
        <w:spacing w:after="0"/>
        <w:ind w:left="0"/>
        <w:contextualSpacing/>
        <w:rPr>
          <w:rFonts w:ascii="Arial" w:eastAsia="Times New Roman" w:hAnsi="Arial" w:cs="Arial"/>
          <w:lang w:eastAsia="en-GB"/>
        </w:rPr>
      </w:pPr>
    </w:p>
    <w:p w14:paraId="2E3B5A5F" w14:textId="77777777" w:rsidR="00A5036C" w:rsidRPr="00A5036C" w:rsidRDefault="009B0C8C" w:rsidP="00291358">
      <w:pPr>
        <w:spacing w:after="0"/>
        <w:ind w:left="0"/>
        <w:contextualSpacing/>
        <w:rPr>
          <w:rFonts w:ascii="Arial" w:eastAsia="Times New Roman" w:hAnsi="Arial" w:cs="Arial"/>
          <w:b/>
          <w:lang w:eastAsia="en-GB"/>
        </w:rPr>
      </w:pPr>
      <w:r>
        <w:rPr>
          <w:rFonts w:ascii="Arial" w:eastAsia="Times New Roman" w:hAnsi="Arial" w:cs="Arial"/>
          <w:b/>
          <w:lang w:eastAsia="en-GB"/>
        </w:rPr>
        <w:lastRenderedPageBreak/>
        <w:t xml:space="preserve">5.2 </w:t>
      </w:r>
      <w:r w:rsidR="00A5036C" w:rsidRPr="00A5036C">
        <w:rPr>
          <w:rFonts w:ascii="Arial" w:eastAsia="Times New Roman" w:hAnsi="Arial" w:cs="Arial"/>
          <w:b/>
          <w:lang w:eastAsia="en-GB"/>
        </w:rPr>
        <w:t>Who Service Charges Apply To</w:t>
      </w:r>
    </w:p>
    <w:p w14:paraId="3606AAD4" w14:textId="77777777" w:rsidR="00A5036C" w:rsidRDefault="00A5036C" w:rsidP="00291358">
      <w:pPr>
        <w:spacing w:after="0"/>
        <w:ind w:left="0"/>
        <w:contextualSpacing/>
        <w:rPr>
          <w:rFonts w:ascii="Arial" w:eastAsia="Times New Roman" w:hAnsi="Arial" w:cs="Arial"/>
          <w:lang w:eastAsia="en-GB"/>
        </w:rPr>
      </w:pPr>
    </w:p>
    <w:tbl>
      <w:tblPr>
        <w:tblStyle w:val="TableGrid"/>
        <w:tblW w:w="0" w:type="auto"/>
        <w:tblLook w:val="04A0" w:firstRow="1" w:lastRow="0" w:firstColumn="1" w:lastColumn="0" w:noHBand="0" w:noVBand="1"/>
      </w:tblPr>
      <w:tblGrid>
        <w:gridCol w:w="3005"/>
        <w:gridCol w:w="3005"/>
        <w:gridCol w:w="3006"/>
      </w:tblGrid>
      <w:tr w:rsidR="00A5036C" w14:paraId="768E8F42" w14:textId="77777777" w:rsidTr="00A5036C">
        <w:tc>
          <w:tcPr>
            <w:tcW w:w="3005" w:type="dxa"/>
          </w:tcPr>
          <w:p w14:paraId="38D46953" w14:textId="77777777" w:rsidR="00A5036C" w:rsidRPr="000E2D00" w:rsidRDefault="00A5036C" w:rsidP="00291358">
            <w:pPr>
              <w:spacing w:after="0"/>
              <w:ind w:left="0"/>
              <w:contextualSpacing/>
              <w:rPr>
                <w:rFonts w:ascii="Arial" w:eastAsia="Times New Roman" w:hAnsi="Arial" w:cs="Arial"/>
                <w:b/>
                <w:lang w:eastAsia="en-GB"/>
              </w:rPr>
            </w:pPr>
            <w:r w:rsidRPr="000E2D00">
              <w:rPr>
                <w:rFonts w:ascii="Arial" w:eastAsia="Times New Roman" w:hAnsi="Arial" w:cs="Arial"/>
                <w:b/>
                <w:lang w:eastAsia="en-GB"/>
              </w:rPr>
              <w:t>Tenancy Type</w:t>
            </w:r>
          </w:p>
        </w:tc>
        <w:tc>
          <w:tcPr>
            <w:tcW w:w="3005" w:type="dxa"/>
          </w:tcPr>
          <w:p w14:paraId="47D9549E" w14:textId="77777777" w:rsidR="00A5036C" w:rsidRPr="000E2D00" w:rsidRDefault="00A5036C" w:rsidP="00291358">
            <w:pPr>
              <w:spacing w:after="0"/>
              <w:ind w:left="0"/>
              <w:contextualSpacing/>
              <w:rPr>
                <w:rFonts w:ascii="Arial" w:eastAsia="Times New Roman" w:hAnsi="Arial" w:cs="Arial"/>
                <w:b/>
                <w:lang w:eastAsia="en-GB"/>
              </w:rPr>
            </w:pPr>
            <w:r w:rsidRPr="000E2D00">
              <w:rPr>
                <w:rFonts w:ascii="Arial" w:eastAsia="Times New Roman" w:hAnsi="Arial" w:cs="Arial"/>
                <w:b/>
                <w:lang w:eastAsia="en-GB"/>
              </w:rPr>
              <w:t>Service Charges</w:t>
            </w:r>
          </w:p>
        </w:tc>
        <w:tc>
          <w:tcPr>
            <w:tcW w:w="3006" w:type="dxa"/>
          </w:tcPr>
          <w:p w14:paraId="77900577" w14:textId="77777777" w:rsidR="00A5036C" w:rsidRPr="000E2D00" w:rsidRDefault="000E2D00" w:rsidP="00291358">
            <w:pPr>
              <w:spacing w:after="0"/>
              <w:ind w:left="0"/>
              <w:contextualSpacing/>
              <w:rPr>
                <w:rFonts w:ascii="Arial" w:eastAsia="Times New Roman" w:hAnsi="Arial" w:cs="Arial"/>
                <w:b/>
                <w:lang w:eastAsia="en-GB"/>
              </w:rPr>
            </w:pPr>
            <w:r w:rsidRPr="000E2D00">
              <w:rPr>
                <w:rFonts w:ascii="Arial" w:eastAsia="Times New Roman" w:hAnsi="Arial" w:cs="Arial"/>
                <w:b/>
                <w:lang w:eastAsia="en-GB"/>
              </w:rPr>
              <w:t>Notes</w:t>
            </w:r>
          </w:p>
          <w:p w14:paraId="6B2E9ECA" w14:textId="77777777" w:rsidR="000E2D00" w:rsidRPr="000E2D00" w:rsidRDefault="000E2D00" w:rsidP="00291358">
            <w:pPr>
              <w:spacing w:after="0"/>
              <w:ind w:left="0"/>
              <w:contextualSpacing/>
              <w:rPr>
                <w:rFonts w:ascii="Arial" w:eastAsia="Times New Roman" w:hAnsi="Arial" w:cs="Arial"/>
                <w:b/>
                <w:lang w:eastAsia="en-GB"/>
              </w:rPr>
            </w:pPr>
          </w:p>
        </w:tc>
      </w:tr>
      <w:tr w:rsidR="00A5036C" w14:paraId="7CAA5B41" w14:textId="77777777" w:rsidTr="00A5036C">
        <w:tc>
          <w:tcPr>
            <w:tcW w:w="3005" w:type="dxa"/>
          </w:tcPr>
          <w:p w14:paraId="561ADC20" w14:textId="77777777" w:rsidR="000E2D00" w:rsidRDefault="000E2D00" w:rsidP="00291358">
            <w:pPr>
              <w:spacing w:after="0"/>
              <w:ind w:left="0"/>
              <w:contextualSpacing/>
              <w:rPr>
                <w:rFonts w:ascii="Arial" w:eastAsia="Times New Roman" w:hAnsi="Arial" w:cs="Arial"/>
                <w:lang w:eastAsia="en-GB"/>
              </w:rPr>
            </w:pPr>
          </w:p>
          <w:p w14:paraId="5F7B88EC" w14:textId="77777777" w:rsidR="00A5036C" w:rsidRDefault="00A5036C" w:rsidP="00291358">
            <w:pPr>
              <w:spacing w:after="0"/>
              <w:ind w:left="0"/>
              <w:contextualSpacing/>
              <w:rPr>
                <w:rFonts w:ascii="Arial" w:eastAsia="Times New Roman" w:hAnsi="Arial" w:cs="Arial"/>
                <w:lang w:eastAsia="en-GB"/>
              </w:rPr>
            </w:pPr>
            <w:r>
              <w:rPr>
                <w:rFonts w:ascii="Arial" w:eastAsia="Times New Roman" w:hAnsi="Arial" w:cs="Arial"/>
                <w:lang w:eastAsia="en-GB"/>
              </w:rPr>
              <w:t>Social rent – Tenancy start date prior to 2018 change</w:t>
            </w:r>
          </w:p>
          <w:p w14:paraId="2140A2A6" w14:textId="77777777" w:rsidR="00A5036C" w:rsidRDefault="00A5036C" w:rsidP="00291358">
            <w:pPr>
              <w:spacing w:after="0"/>
              <w:ind w:left="0"/>
              <w:contextualSpacing/>
              <w:rPr>
                <w:rFonts w:ascii="Arial" w:eastAsia="Times New Roman" w:hAnsi="Arial" w:cs="Arial"/>
                <w:lang w:eastAsia="en-GB"/>
              </w:rPr>
            </w:pPr>
            <w:r>
              <w:rPr>
                <w:rFonts w:ascii="Arial" w:eastAsia="Times New Roman" w:hAnsi="Arial" w:cs="Arial"/>
                <w:lang w:eastAsia="en-GB"/>
              </w:rPr>
              <w:t xml:space="preserve"> </w:t>
            </w:r>
          </w:p>
        </w:tc>
        <w:tc>
          <w:tcPr>
            <w:tcW w:w="3005" w:type="dxa"/>
          </w:tcPr>
          <w:p w14:paraId="47AC76C6" w14:textId="77777777" w:rsidR="000E2D00" w:rsidRDefault="000E2D00" w:rsidP="00291358">
            <w:pPr>
              <w:spacing w:after="0"/>
              <w:ind w:left="0"/>
              <w:contextualSpacing/>
              <w:rPr>
                <w:rFonts w:ascii="Arial" w:eastAsia="Times New Roman" w:hAnsi="Arial" w:cs="Arial"/>
                <w:lang w:eastAsia="en-GB"/>
              </w:rPr>
            </w:pPr>
          </w:p>
          <w:p w14:paraId="3E5553CF" w14:textId="77777777" w:rsidR="00A5036C" w:rsidRDefault="006952EE" w:rsidP="00291358">
            <w:pPr>
              <w:spacing w:after="0"/>
              <w:ind w:left="0"/>
              <w:contextualSpacing/>
              <w:rPr>
                <w:rFonts w:ascii="Arial" w:eastAsia="Times New Roman" w:hAnsi="Arial" w:cs="Arial"/>
                <w:lang w:eastAsia="en-GB"/>
              </w:rPr>
            </w:pPr>
            <w:r>
              <w:rPr>
                <w:rFonts w:ascii="Arial" w:eastAsia="Times New Roman" w:hAnsi="Arial" w:cs="Arial"/>
                <w:lang w:eastAsia="en-GB"/>
              </w:rPr>
              <w:t>No</w:t>
            </w:r>
          </w:p>
        </w:tc>
        <w:tc>
          <w:tcPr>
            <w:tcW w:w="3006" w:type="dxa"/>
          </w:tcPr>
          <w:p w14:paraId="6A7D09C8" w14:textId="77777777" w:rsidR="000E2D00" w:rsidRDefault="000E2D00" w:rsidP="00291358">
            <w:pPr>
              <w:spacing w:after="0"/>
              <w:ind w:left="0"/>
              <w:contextualSpacing/>
              <w:rPr>
                <w:rFonts w:ascii="Arial" w:eastAsia="Times New Roman" w:hAnsi="Arial" w:cs="Arial"/>
                <w:lang w:eastAsia="en-GB"/>
              </w:rPr>
            </w:pPr>
          </w:p>
          <w:p w14:paraId="59ED38D6"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Only rent is paid</w:t>
            </w:r>
          </w:p>
        </w:tc>
      </w:tr>
      <w:tr w:rsidR="00A5036C" w14:paraId="5AF4C3DB" w14:textId="77777777" w:rsidTr="00A5036C">
        <w:tc>
          <w:tcPr>
            <w:tcW w:w="3005" w:type="dxa"/>
          </w:tcPr>
          <w:p w14:paraId="2E7BD3EF" w14:textId="77777777" w:rsidR="000E2D00" w:rsidRDefault="000E2D00" w:rsidP="000E2D00">
            <w:pPr>
              <w:spacing w:after="0"/>
              <w:ind w:left="0"/>
              <w:contextualSpacing/>
              <w:rPr>
                <w:rFonts w:ascii="Arial" w:eastAsia="Times New Roman" w:hAnsi="Arial" w:cs="Arial"/>
                <w:lang w:eastAsia="en-GB"/>
              </w:rPr>
            </w:pPr>
          </w:p>
          <w:p w14:paraId="5F7E5376" w14:textId="77777777" w:rsidR="00051C41" w:rsidRDefault="000E2D00" w:rsidP="000E2D00">
            <w:pPr>
              <w:spacing w:after="0"/>
              <w:ind w:left="0"/>
              <w:contextualSpacing/>
              <w:rPr>
                <w:rFonts w:ascii="Arial" w:eastAsia="Times New Roman" w:hAnsi="Arial" w:cs="Arial"/>
                <w:lang w:eastAsia="en-GB"/>
              </w:rPr>
            </w:pPr>
            <w:r>
              <w:rPr>
                <w:rFonts w:ascii="Arial" w:eastAsia="Times New Roman" w:hAnsi="Arial" w:cs="Arial"/>
                <w:lang w:eastAsia="en-GB"/>
              </w:rPr>
              <w:t xml:space="preserve">Social rent – Tenancy start date after 2018 change </w:t>
            </w:r>
          </w:p>
          <w:p w14:paraId="0C54B554" w14:textId="77777777" w:rsidR="000E2D00" w:rsidRDefault="000E2D00" w:rsidP="000E2D00">
            <w:pPr>
              <w:spacing w:after="0"/>
              <w:ind w:left="0"/>
              <w:contextualSpacing/>
              <w:rPr>
                <w:rFonts w:ascii="Arial" w:eastAsia="Times New Roman" w:hAnsi="Arial" w:cs="Arial"/>
                <w:lang w:eastAsia="en-GB"/>
              </w:rPr>
            </w:pPr>
            <w:r>
              <w:rPr>
                <w:rFonts w:ascii="Arial" w:eastAsia="Times New Roman" w:hAnsi="Arial" w:cs="Arial"/>
                <w:lang w:eastAsia="en-GB"/>
              </w:rPr>
              <w:t>On change of tenancy after 2018 Service Charges are separated out and charged</w:t>
            </w:r>
          </w:p>
          <w:p w14:paraId="28BD1ABA" w14:textId="77777777" w:rsidR="00A5036C" w:rsidRDefault="00A5036C" w:rsidP="00291358">
            <w:pPr>
              <w:spacing w:after="0"/>
              <w:ind w:left="0"/>
              <w:contextualSpacing/>
              <w:rPr>
                <w:rFonts w:ascii="Arial" w:eastAsia="Times New Roman" w:hAnsi="Arial" w:cs="Arial"/>
                <w:lang w:eastAsia="en-GB"/>
              </w:rPr>
            </w:pPr>
          </w:p>
        </w:tc>
        <w:tc>
          <w:tcPr>
            <w:tcW w:w="3005" w:type="dxa"/>
          </w:tcPr>
          <w:p w14:paraId="79B728C9" w14:textId="77777777" w:rsidR="000E2D00" w:rsidRDefault="000E2D00" w:rsidP="00291358">
            <w:pPr>
              <w:spacing w:after="0"/>
              <w:ind w:left="0"/>
              <w:contextualSpacing/>
              <w:rPr>
                <w:rFonts w:ascii="Arial" w:eastAsia="Times New Roman" w:hAnsi="Arial" w:cs="Arial"/>
                <w:lang w:eastAsia="en-GB"/>
              </w:rPr>
            </w:pPr>
          </w:p>
          <w:p w14:paraId="02A49159"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Yes - On change of tenancy after 2018 Service Charges are separated out and charge</w:t>
            </w:r>
          </w:p>
        </w:tc>
        <w:tc>
          <w:tcPr>
            <w:tcW w:w="3006" w:type="dxa"/>
          </w:tcPr>
          <w:p w14:paraId="7E68AD37" w14:textId="77777777" w:rsidR="000E2D00" w:rsidRDefault="000E2D00" w:rsidP="00291358">
            <w:pPr>
              <w:spacing w:after="0"/>
              <w:ind w:left="0"/>
              <w:contextualSpacing/>
              <w:rPr>
                <w:rFonts w:ascii="Arial" w:eastAsia="Times New Roman" w:hAnsi="Arial" w:cs="Arial"/>
                <w:lang w:eastAsia="en-GB"/>
              </w:rPr>
            </w:pPr>
          </w:p>
          <w:p w14:paraId="10CA056E" w14:textId="77777777" w:rsidR="000E2D00"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 xml:space="preserve">Rent is paid </w:t>
            </w:r>
          </w:p>
          <w:p w14:paraId="313F0D7A"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 xml:space="preserve">Service charges are paid and are shown </w:t>
            </w:r>
            <w:r w:rsidR="009364CE">
              <w:rPr>
                <w:rFonts w:ascii="Arial" w:eastAsia="Times New Roman" w:hAnsi="Arial" w:cs="Arial"/>
                <w:lang w:eastAsia="en-GB"/>
              </w:rPr>
              <w:t>separately</w:t>
            </w:r>
          </w:p>
        </w:tc>
      </w:tr>
      <w:tr w:rsidR="00A5036C" w14:paraId="57B676E3" w14:textId="77777777" w:rsidTr="00A5036C">
        <w:tc>
          <w:tcPr>
            <w:tcW w:w="3005" w:type="dxa"/>
          </w:tcPr>
          <w:p w14:paraId="7B0A8DC9" w14:textId="77777777" w:rsidR="000E2D00" w:rsidRDefault="000E2D00" w:rsidP="00291358">
            <w:pPr>
              <w:spacing w:after="0"/>
              <w:ind w:left="0"/>
              <w:contextualSpacing/>
              <w:rPr>
                <w:rFonts w:ascii="Arial" w:eastAsia="Times New Roman" w:hAnsi="Arial" w:cs="Arial"/>
                <w:lang w:eastAsia="en-GB"/>
              </w:rPr>
            </w:pPr>
          </w:p>
          <w:p w14:paraId="5EEE4111"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Affordable Rent</w:t>
            </w:r>
          </w:p>
          <w:p w14:paraId="75431C7D" w14:textId="77777777" w:rsidR="000E2D00" w:rsidRDefault="000E2D00" w:rsidP="00291358">
            <w:pPr>
              <w:spacing w:after="0"/>
              <w:ind w:left="0"/>
              <w:contextualSpacing/>
              <w:rPr>
                <w:rFonts w:ascii="Arial" w:eastAsia="Times New Roman" w:hAnsi="Arial" w:cs="Arial"/>
                <w:lang w:eastAsia="en-GB"/>
              </w:rPr>
            </w:pPr>
          </w:p>
        </w:tc>
        <w:tc>
          <w:tcPr>
            <w:tcW w:w="3005" w:type="dxa"/>
          </w:tcPr>
          <w:p w14:paraId="2AA8D628" w14:textId="77777777" w:rsidR="000E2D00" w:rsidRDefault="000E2D00" w:rsidP="00291358">
            <w:pPr>
              <w:spacing w:after="0"/>
              <w:ind w:left="0"/>
              <w:contextualSpacing/>
              <w:rPr>
                <w:rFonts w:ascii="Arial" w:eastAsia="Times New Roman" w:hAnsi="Arial" w:cs="Arial"/>
                <w:lang w:eastAsia="en-GB"/>
              </w:rPr>
            </w:pPr>
          </w:p>
          <w:p w14:paraId="2A2C81FE"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Yes – included in the rent and not separated out</w:t>
            </w:r>
          </w:p>
          <w:p w14:paraId="0883AF5D" w14:textId="77777777" w:rsidR="000E2D00" w:rsidRDefault="000E2D00" w:rsidP="00291358">
            <w:pPr>
              <w:spacing w:after="0"/>
              <w:ind w:left="0"/>
              <w:contextualSpacing/>
              <w:rPr>
                <w:rFonts w:ascii="Arial" w:eastAsia="Times New Roman" w:hAnsi="Arial" w:cs="Arial"/>
                <w:lang w:eastAsia="en-GB"/>
              </w:rPr>
            </w:pPr>
          </w:p>
        </w:tc>
        <w:tc>
          <w:tcPr>
            <w:tcW w:w="3006" w:type="dxa"/>
          </w:tcPr>
          <w:p w14:paraId="3EEB3E34" w14:textId="77777777" w:rsidR="000E2D00" w:rsidRDefault="000E2D00" w:rsidP="00291358">
            <w:pPr>
              <w:spacing w:after="0"/>
              <w:ind w:left="0"/>
              <w:contextualSpacing/>
              <w:rPr>
                <w:rFonts w:ascii="Arial" w:eastAsia="Times New Roman" w:hAnsi="Arial" w:cs="Arial"/>
                <w:lang w:eastAsia="en-GB"/>
              </w:rPr>
            </w:pPr>
          </w:p>
          <w:p w14:paraId="61BE2C4D" w14:textId="77777777" w:rsidR="00A5036C"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Only rent paid – inclusive of service charges</w:t>
            </w:r>
          </w:p>
        </w:tc>
      </w:tr>
      <w:tr w:rsidR="00A5036C" w14:paraId="6FA7CC7B" w14:textId="77777777" w:rsidTr="00A5036C">
        <w:tc>
          <w:tcPr>
            <w:tcW w:w="3005" w:type="dxa"/>
          </w:tcPr>
          <w:p w14:paraId="0DFBD868" w14:textId="77777777" w:rsidR="00A5036C" w:rsidRDefault="00A5036C" w:rsidP="00291358">
            <w:pPr>
              <w:spacing w:after="0"/>
              <w:ind w:left="0"/>
              <w:contextualSpacing/>
              <w:rPr>
                <w:rFonts w:ascii="Arial" w:eastAsia="Times New Roman" w:hAnsi="Arial" w:cs="Arial"/>
                <w:lang w:eastAsia="en-GB"/>
              </w:rPr>
            </w:pPr>
          </w:p>
          <w:p w14:paraId="11A9BD84" w14:textId="77777777" w:rsidR="000E2D00"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Leaseholders</w:t>
            </w:r>
          </w:p>
          <w:p w14:paraId="37D8191E" w14:textId="77777777" w:rsidR="000E2D00" w:rsidRDefault="000E2D00" w:rsidP="00291358">
            <w:pPr>
              <w:spacing w:after="0"/>
              <w:ind w:left="0"/>
              <w:contextualSpacing/>
              <w:rPr>
                <w:rFonts w:ascii="Arial" w:eastAsia="Times New Roman" w:hAnsi="Arial" w:cs="Arial"/>
                <w:lang w:eastAsia="en-GB"/>
              </w:rPr>
            </w:pPr>
          </w:p>
        </w:tc>
        <w:tc>
          <w:tcPr>
            <w:tcW w:w="3005" w:type="dxa"/>
          </w:tcPr>
          <w:p w14:paraId="78485528" w14:textId="77777777" w:rsidR="00A5036C" w:rsidRDefault="00A5036C" w:rsidP="00291358">
            <w:pPr>
              <w:spacing w:after="0"/>
              <w:ind w:left="0"/>
              <w:contextualSpacing/>
              <w:rPr>
                <w:rFonts w:ascii="Arial" w:eastAsia="Times New Roman" w:hAnsi="Arial" w:cs="Arial"/>
                <w:lang w:eastAsia="en-GB"/>
              </w:rPr>
            </w:pPr>
          </w:p>
          <w:p w14:paraId="09F7E7C1" w14:textId="129F9755" w:rsidR="000E2D00" w:rsidRDefault="000E2D00" w:rsidP="00291358">
            <w:pPr>
              <w:spacing w:after="0"/>
              <w:ind w:left="0"/>
              <w:contextualSpacing/>
              <w:rPr>
                <w:rFonts w:ascii="Arial" w:eastAsia="Times New Roman" w:hAnsi="Arial" w:cs="Arial"/>
                <w:lang w:eastAsia="en-GB"/>
              </w:rPr>
            </w:pPr>
            <w:r>
              <w:rPr>
                <w:rFonts w:ascii="Arial" w:eastAsia="Times New Roman" w:hAnsi="Arial" w:cs="Arial"/>
                <w:lang w:eastAsia="en-GB"/>
              </w:rPr>
              <w:t>Yes</w:t>
            </w:r>
            <w:r w:rsidR="009B0C8C">
              <w:rPr>
                <w:rFonts w:ascii="Arial" w:eastAsia="Times New Roman" w:hAnsi="Arial" w:cs="Arial"/>
                <w:lang w:eastAsia="en-GB"/>
              </w:rPr>
              <w:t xml:space="preserve"> - </w:t>
            </w:r>
            <w:r>
              <w:rPr>
                <w:rFonts w:ascii="Arial" w:eastAsia="Times New Roman" w:hAnsi="Arial" w:cs="Arial"/>
                <w:lang w:eastAsia="en-GB"/>
              </w:rPr>
              <w:t>paid at intervals specified in the lease e.g. quarterly</w:t>
            </w:r>
          </w:p>
          <w:p w14:paraId="0F7D5C24" w14:textId="574496C3" w:rsidR="000C56CD" w:rsidRDefault="000C56CD" w:rsidP="00291358">
            <w:pPr>
              <w:spacing w:after="0"/>
              <w:ind w:left="0"/>
              <w:contextualSpacing/>
              <w:rPr>
                <w:rFonts w:ascii="Arial" w:eastAsia="Times New Roman" w:hAnsi="Arial" w:cs="Arial"/>
                <w:lang w:eastAsia="en-GB"/>
              </w:rPr>
            </w:pPr>
          </w:p>
          <w:p w14:paraId="5A590586" w14:textId="40E99A6F" w:rsidR="000E2D00" w:rsidRDefault="000C56CD" w:rsidP="00291358">
            <w:pPr>
              <w:spacing w:after="0"/>
              <w:ind w:left="0"/>
              <w:contextualSpacing/>
              <w:rPr>
                <w:rFonts w:ascii="Arial" w:eastAsia="Times New Roman" w:hAnsi="Arial" w:cs="Arial"/>
                <w:lang w:eastAsia="en-GB"/>
              </w:rPr>
            </w:pPr>
            <w:r>
              <w:rPr>
                <w:rFonts w:ascii="Arial" w:eastAsia="Times New Roman" w:hAnsi="Arial" w:cs="Arial"/>
                <w:lang w:eastAsia="en-GB"/>
              </w:rPr>
              <w:t>Leaseholders pay an annual ground rent only</w:t>
            </w:r>
          </w:p>
          <w:p w14:paraId="2435D3C0" w14:textId="77777777" w:rsidR="000E2D00" w:rsidRDefault="000E2D00" w:rsidP="00291358">
            <w:pPr>
              <w:spacing w:after="0"/>
              <w:ind w:left="0"/>
              <w:contextualSpacing/>
              <w:rPr>
                <w:rFonts w:ascii="Arial" w:eastAsia="Times New Roman" w:hAnsi="Arial" w:cs="Arial"/>
                <w:lang w:eastAsia="en-GB"/>
              </w:rPr>
            </w:pPr>
          </w:p>
        </w:tc>
        <w:tc>
          <w:tcPr>
            <w:tcW w:w="3006" w:type="dxa"/>
          </w:tcPr>
          <w:p w14:paraId="40094012" w14:textId="77777777" w:rsidR="00A5036C" w:rsidRDefault="00A5036C" w:rsidP="00291358">
            <w:pPr>
              <w:spacing w:after="0"/>
              <w:ind w:left="0"/>
              <w:contextualSpacing/>
              <w:rPr>
                <w:rFonts w:ascii="Arial" w:eastAsia="Times New Roman" w:hAnsi="Arial" w:cs="Arial"/>
                <w:lang w:eastAsia="en-GB"/>
              </w:rPr>
            </w:pPr>
          </w:p>
          <w:p w14:paraId="3DEBCBC7" w14:textId="77777777" w:rsidR="000E2D00"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Buildings insurance provided via WCHG is charged</w:t>
            </w:r>
          </w:p>
          <w:p w14:paraId="19F577F3" w14:textId="77777777" w:rsidR="009B0C8C" w:rsidRDefault="009B0C8C" w:rsidP="00291358">
            <w:pPr>
              <w:spacing w:after="0"/>
              <w:ind w:left="0"/>
              <w:contextualSpacing/>
              <w:rPr>
                <w:rFonts w:ascii="Arial" w:eastAsia="Times New Roman" w:hAnsi="Arial" w:cs="Arial"/>
                <w:lang w:eastAsia="en-GB"/>
              </w:rPr>
            </w:pPr>
          </w:p>
          <w:p w14:paraId="790752E8" w14:textId="77777777" w:rsidR="009B0C8C"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A sinking fund contribution will also be charged in respect of future major works to maintain the building</w:t>
            </w:r>
          </w:p>
          <w:p w14:paraId="29047FE0" w14:textId="77777777" w:rsidR="009B0C8C" w:rsidRDefault="009B0C8C" w:rsidP="00291358">
            <w:pPr>
              <w:spacing w:after="0"/>
              <w:ind w:left="0"/>
              <w:contextualSpacing/>
              <w:rPr>
                <w:rFonts w:ascii="Arial" w:eastAsia="Times New Roman" w:hAnsi="Arial" w:cs="Arial"/>
                <w:lang w:eastAsia="en-GB"/>
              </w:rPr>
            </w:pPr>
          </w:p>
          <w:p w14:paraId="2CAA75F0" w14:textId="77777777" w:rsidR="009B0C8C"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Details are specified in the lease</w:t>
            </w:r>
          </w:p>
          <w:p w14:paraId="227B4F8E" w14:textId="77777777" w:rsidR="000E2D00" w:rsidRDefault="000E2D00" w:rsidP="00291358">
            <w:pPr>
              <w:spacing w:after="0"/>
              <w:ind w:left="0"/>
              <w:contextualSpacing/>
              <w:rPr>
                <w:rFonts w:ascii="Arial" w:eastAsia="Times New Roman" w:hAnsi="Arial" w:cs="Arial"/>
                <w:lang w:eastAsia="en-GB"/>
              </w:rPr>
            </w:pPr>
          </w:p>
        </w:tc>
      </w:tr>
      <w:tr w:rsidR="00A5036C" w14:paraId="33E51F0A" w14:textId="77777777" w:rsidTr="00A5036C">
        <w:tc>
          <w:tcPr>
            <w:tcW w:w="3005" w:type="dxa"/>
          </w:tcPr>
          <w:p w14:paraId="135C78FB" w14:textId="77777777" w:rsidR="00A5036C" w:rsidRDefault="00A5036C" w:rsidP="00291358">
            <w:pPr>
              <w:spacing w:after="0"/>
              <w:ind w:left="0"/>
              <w:contextualSpacing/>
              <w:rPr>
                <w:rFonts w:ascii="Arial" w:eastAsia="Times New Roman" w:hAnsi="Arial" w:cs="Arial"/>
                <w:lang w:eastAsia="en-GB"/>
              </w:rPr>
            </w:pPr>
          </w:p>
          <w:p w14:paraId="5D99F70B" w14:textId="77777777" w:rsidR="00811E32" w:rsidRDefault="00811E32" w:rsidP="00291358">
            <w:pPr>
              <w:spacing w:after="0"/>
              <w:ind w:left="0"/>
              <w:contextualSpacing/>
              <w:rPr>
                <w:rFonts w:ascii="Arial" w:eastAsia="Times New Roman" w:hAnsi="Arial" w:cs="Arial"/>
                <w:lang w:eastAsia="en-GB"/>
              </w:rPr>
            </w:pPr>
            <w:r>
              <w:rPr>
                <w:rFonts w:ascii="Arial" w:eastAsia="Times New Roman" w:hAnsi="Arial" w:cs="Arial"/>
                <w:lang w:eastAsia="en-GB"/>
              </w:rPr>
              <w:t>Shared o</w:t>
            </w:r>
            <w:r w:rsidR="009B0C8C">
              <w:rPr>
                <w:rFonts w:ascii="Arial" w:eastAsia="Times New Roman" w:hAnsi="Arial" w:cs="Arial"/>
                <w:lang w:eastAsia="en-GB"/>
              </w:rPr>
              <w:t>wners</w:t>
            </w:r>
          </w:p>
          <w:p w14:paraId="76A7543C" w14:textId="77777777" w:rsidR="00811E32" w:rsidRDefault="00811E32" w:rsidP="00291358">
            <w:pPr>
              <w:spacing w:after="0"/>
              <w:ind w:left="0"/>
              <w:contextualSpacing/>
              <w:rPr>
                <w:rFonts w:ascii="Arial" w:eastAsia="Times New Roman" w:hAnsi="Arial" w:cs="Arial"/>
                <w:lang w:eastAsia="en-GB"/>
              </w:rPr>
            </w:pPr>
          </w:p>
        </w:tc>
        <w:tc>
          <w:tcPr>
            <w:tcW w:w="3005" w:type="dxa"/>
          </w:tcPr>
          <w:p w14:paraId="0C576993" w14:textId="77777777" w:rsidR="00A5036C" w:rsidRDefault="00A5036C" w:rsidP="00291358">
            <w:pPr>
              <w:spacing w:after="0"/>
              <w:ind w:left="0"/>
              <w:contextualSpacing/>
              <w:rPr>
                <w:rFonts w:ascii="Arial" w:eastAsia="Times New Roman" w:hAnsi="Arial" w:cs="Arial"/>
                <w:lang w:eastAsia="en-GB"/>
              </w:rPr>
            </w:pPr>
          </w:p>
          <w:p w14:paraId="1079F5E9" w14:textId="77777777" w:rsidR="009B0C8C"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Yes – paid at intervals specified in the agreement</w:t>
            </w:r>
          </w:p>
          <w:p w14:paraId="31DBA664" w14:textId="77777777" w:rsidR="009B0C8C" w:rsidRDefault="009B0C8C" w:rsidP="00291358">
            <w:pPr>
              <w:spacing w:after="0"/>
              <w:ind w:left="0"/>
              <w:contextualSpacing/>
              <w:rPr>
                <w:rFonts w:ascii="Arial" w:eastAsia="Times New Roman" w:hAnsi="Arial" w:cs="Arial"/>
                <w:lang w:eastAsia="en-GB"/>
              </w:rPr>
            </w:pPr>
          </w:p>
          <w:p w14:paraId="528B0D63" w14:textId="61AC8264" w:rsidR="009B0C8C"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Rent is paid on the % of the property not yet purchased</w:t>
            </w:r>
          </w:p>
          <w:p w14:paraId="3B8D7E9C" w14:textId="77777777" w:rsidR="009B0C8C" w:rsidRDefault="009B0C8C" w:rsidP="00291358">
            <w:pPr>
              <w:spacing w:after="0"/>
              <w:ind w:left="0"/>
              <w:contextualSpacing/>
              <w:rPr>
                <w:rFonts w:ascii="Arial" w:eastAsia="Times New Roman" w:hAnsi="Arial" w:cs="Arial"/>
                <w:lang w:eastAsia="en-GB"/>
              </w:rPr>
            </w:pPr>
          </w:p>
        </w:tc>
        <w:tc>
          <w:tcPr>
            <w:tcW w:w="3006" w:type="dxa"/>
          </w:tcPr>
          <w:p w14:paraId="3E3EF2E0" w14:textId="77777777" w:rsidR="00A5036C" w:rsidRDefault="00A5036C" w:rsidP="00291358">
            <w:pPr>
              <w:spacing w:after="0"/>
              <w:ind w:left="0"/>
              <w:contextualSpacing/>
              <w:rPr>
                <w:rFonts w:ascii="Arial" w:eastAsia="Times New Roman" w:hAnsi="Arial" w:cs="Arial"/>
                <w:lang w:eastAsia="en-GB"/>
              </w:rPr>
            </w:pPr>
          </w:p>
          <w:p w14:paraId="0FF84ACD" w14:textId="77777777" w:rsidR="009B0C8C" w:rsidRDefault="009B0C8C" w:rsidP="009B0C8C">
            <w:pPr>
              <w:spacing w:after="0"/>
              <w:ind w:left="0"/>
              <w:contextualSpacing/>
              <w:rPr>
                <w:rFonts w:ascii="Arial" w:eastAsia="Times New Roman" w:hAnsi="Arial" w:cs="Arial"/>
                <w:lang w:eastAsia="en-GB"/>
              </w:rPr>
            </w:pPr>
            <w:r>
              <w:rPr>
                <w:rFonts w:ascii="Arial" w:eastAsia="Times New Roman" w:hAnsi="Arial" w:cs="Arial"/>
                <w:lang w:eastAsia="en-GB"/>
              </w:rPr>
              <w:t>Buildings insurance provided via WCHG is charged</w:t>
            </w:r>
          </w:p>
          <w:p w14:paraId="435A62A1" w14:textId="77777777" w:rsidR="009B0C8C" w:rsidRDefault="009B0C8C" w:rsidP="00291358">
            <w:pPr>
              <w:spacing w:after="0"/>
              <w:ind w:left="0"/>
              <w:contextualSpacing/>
              <w:rPr>
                <w:rFonts w:ascii="Arial" w:eastAsia="Times New Roman" w:hAnsi="Arial" w:cs="Arial"/>
                <w:lang w:eastAsia="en-GB"/>
              </w:rPr>
            </w:pPr>
          </w:p>
          <w:p w14:paraId="7D869140" w14:textId="77777777" w:rsidR="008F539B" w:rsidRDefault="008F539B" w:rsidP="00291358">
            <w:pPr>
              <w:spacing w:after="0"/>
              <w:ind w:left="0"/>
              <w:contextualSpacing/>
              <w:rPr>
                <w:rFonts w:ascii="Arial" w:eastAsia="Times New Roman" w:hAnsi="Arial" w:cs="Arial"/>
                <w:lang w:eastAsia="en-GB"/>
              </w:rPr>
            </w:pPr>
          </w:p>
          <w:p w14:paraId="2E7F517E" w14:textId="77777777" w:rsidR="008F539B" w:rsidRDefault="008F539B" w:rsidP="00291358">
            <w:pPr>
              <w:spacing w:after="0"/>
              <w:ind w:left="0"/>
              <w:contextualSpacing/>
              <w:rPr>
                <w:rFonts w:ascii="Arial" w:eastAsia="Times New Roman" w:hAnsi="Arial" w:cs="Arial"/>
                <w:lang w:eastAsia="en-GB"/>
              </w:rPr>
            </w:pPr>
          </w:p>
          <w:p w14:paraId="65661162" w14:textId="77777777" w:rsidR="008F539B" w:rsidRDefault="008F539B" w:rsidP="00291358">
            <w:pPr>
              <w:spacing w:after="0"/>
              <w:ind w:left="0"/>
              <w:contextualSpacing/>
              <w:rPr>
                <w:rFonts w:ascii="Arial" w:eastAsia="Times New Roman" w:hAnsi="Arial" w:cs="Arial"/>
                <w:lang w:eastAsia="en-GB"/>
              </w:rPr>
            </w:pPr>
          </w:p>
          <w:p w14:paraId="17B5C8CD" w14:textId="77777777" w:rsidR="008F539B" w:rsidRDefault="008F539B" w:rsidP="00291358">
            <w:pPr>
              <w:spacing w:after="0"/>
              <w:ind w:left="0"/>
              <w:contextualSpacing/>
              <w:rPr>
                <w:rFonts w:ascii="Arial" w:eastAsia="Times New Roman" w:hAnsi="Arial" w:cs="Arial"/>
                <w:lang w:eastAsia="en-GB"/>
              </w:rPr>
            </w:pPr>
          </w:p>
        </w:tc>
      </w:tr>
      <w:tr w:rsidR="00CD58FF" w14:paraId="34F92C19" w14:textId="77777777" w:rsidTr="00A5036C">
        <w:tc>
          <w:tcPr>
            <w:tcW w:w="3005" w:type="dxa"/>
          </w:tcPr>
          <w:p w14:paraId="570A9B31" w14:textId="21861897" w:rsidR="00CD58FF" w:rsidRDefault="00CD58FF" w:rsidP="00291358">
            <w:pPr>
              <w:spacing w:after="0"/>
              <w:ind w:left="0"/>
              <w:contextualSpacing/>
              <w:rPr>
                <w:rFonts w:ascii="Arial" w:eastAsia="Times New Roman" w:hAnsi="Arial" w:cs="Arial"/>
                <w:lang w:eastAsia="en-GB"/>
              </w:rPr>
            </w:pPr>
            <w:r>
              <w:rPr>
                <w:rFonts w:ascii="Arial" w:eastAsia="Times New Roman" w:hAnsi="Arial" w:cs="Arial"/>
                <w:lang w:eastAsia="en-GB"/>
              </w:rPr>
              <w:t>Rent to Buy</w:t>
            </w:r>
          </w:p>
        </w:tc>
        <w:tc>
          <w:tcPr>
            <w:tcW w:w="3005" w:type="dxa"/>
          </w:tcPr>
          <w:p w14:paraId="4CF085CF" w14:textId="21C123CE" w:rsidR="00CD58FF" w:rsidRDefault="00CD58FF" w:rsidP="00291358">
            <w:pPr>
              <w:spacing w:after="0"/>
              <w:ind w:left="0"/>
              <w:contextualSpacing/>
              <w:rPr>
                <w:rFonts w:ascii="Arial" w:eastAsia="Times New Roman" w:hAnsi="Arial" w:cs="Arial"/>
                <w:lang w:eastAsia="en-GB"/>
              </w:rPr>
            </w:pPr>
            <w:r>
              <w:rPr>
                <w:rFonts w:ascii="Arial" w:eastAsia="Times New Roman" w:hAnsi="Arial" w:cs="Arial"/>
                <w:lang w:eastAsia="en-GB"/>
              </w:rPr>
              <w:t>Yes – if service charges apply – depends on building type</w:t>
            </w:r>
          </w:p>
        </w:tc>
        <w:tc>
          <w:tcPr>
            <w:tcW w:w="3006" w:type="dxa"/>
          </w:tcPr>
          <w:p w14:paraId="26A86DC1" w14:textId="77777777" w:rsidR="00CD58FF" w:rsidRDefault="00CD58FF" w:rsidP="00291358">
            <w:pPr>
              <w:spacing w:after="0"/>
              <w:ind w:left="0"/>
              <w:contextualSpacing/>
              <w:rPr>
                <w:rFonts w:ascii="Arial" w:eastAsia="Times New Roman" w:hAnsi="Arial" w:cs="Arial"/>
                <w:lang w:eastAsia="en-GB"/>
              </w:rPr>
            </w:pPr>
            <w:r>
              <w:rPr>
                <w:rFonts w:ascii="Arial" w:eastAsia="Times New Roman" w:hAnsi="Arial" w:cs="Arial"/>
                <w:lang w:eastAsia="en-GB"/>
              </w:rPr>
              <w:t>Building type sets insurance requirements as specified in agreement</w:t>
            </w:r>
          </w:p>
          <w:p w14:paraId="424A3C54" w14:textId="4D7F45DF" w:rsidR="00CD58FF" w:rsidRDefault="00CD58FF" w:rsidP="00291358">
            <w:pPr>
              <w:spacing w:after="0"/>
              <w:ind w:left="0"/>
              <w:contextualSpacing/>
              <w:rPr>
                <w:rFonts w:ascii="Arial" w:eastAsia="Times New Roman" w:hAnsi="Arial" w:cs="Arial"/>
                <w:lang w:eastAsia="en-GB"/>
              </w:rPr>
            </w:pPr>
          </w:p>
        </w:tc>
      </w:tr>
      <w:tr w:rsidR="008F539B" w14:paraId="2BA950D8" w14:textId="77777777" w:rsidTr="00A5036C">
        <w:tc>
          <w:tcPr>
            <w:tcW w:w="3005" w:type="dxa"/>
          </w:tcPr>
          <w:p w14:paraId="77E48FCE" w14:textId="77777777" w:rsidR="008F539B" w:rsidRDefault="008F539B" w:rsidP="00291358">
            <w:pPr>
              <w:spacing w:after="0"/>
              <w:ind w:left="0"/>
              <w:contextualSpacing/>
              <w:rPr>
                <w:rFonts w:ascii="Arial" w:eastAsia="Times New Roman" w:hAnsi="Arial" w:cs="Arial"/>
                <w:lang w:eastAsia="en-GB"/>
              </w:rPr>
            </w:pPr>
          </w:p>
          <w:p w14:paraId="166DD57D" w14:textId="5FEBBC17" w:rsidR="008F539B" w:rsidRDefault="0087613F" w:rsidP="00291358">
            <w:pPr>
              <w:spacing w:after="0"/>
              <w:ind w:left="0"/>
              <w:contextualSpacing/>
              <w:rPr>
                <w:rFonts w:ascii="Arial" w:eastAsia="Times New Roman" w:hAnsi="Arial" w:cs="Arial"/>
                <w:lang w:eastAsia="en-GB"/>
              </w:rPr>
            </w:pPr>
            <w:r>
              <w:rPr>
                <w:rFonts w:ascii="Arial" w:eastAsia="Times New Roman" w:hAnsi="Arial" w:cs="Arial"/>
                <w:lang w:eastAsia="en-GB"/>
              </w:rPr>
              <w:t>Managing agent /</w:t>
            </w:r>
            <w:r w:rsidR="008F539B">
              <w:rPr>
                <w:rFonts w:ascii="Arial" w:eastAsia="Times New Roman" w:hAnsi="Arial" w:cs="Arial"/>
                <w:lang w:eastAsia="en-GB"/>
              </w:rPr>
              <w:t>Supported Housing</w:t>
            </w:r>
            <w:r>
              <w:rPr>
                <w:rFonts w:ascii="Arial" w:eastAsia="Times New Roman" w:hAnsi="Arial" w:cs="Arial"/>
                <w:lang w:eastAsia="en-GB"/>
              </w:rPr>
              <w:t xml:space="preserve"> homes</w:t>
            </w:r>
          </w:p>
          <w:p w14:paraId="0EA3D56F" w14:textId="77777777" w:rsidR="008F539B" w:rsidRDefault="008F539B" w:rsidP="00291358">
            <w:pPr>
              <w:spacing w:after="0"/>
              <w:ind w:left="0"/>
              <w:contextualSpacing/>
              <w:rPr>
                <w:rFonts w:ascii="Arial" w:eastAsia="Times New Roman" w:hAnsi="Arial" w:cs="Arial"/>
                <w:lang w:eastAsia="en-GB"/>
              </w:rPr>
            </w:pPr>
          </w:p>
        </w:tc>
        <w:tc>
          <w:tcPr>
            <w:tcW w:w="3005" w:type="dxa"/>
          </w:tcPr>
          <w:p w14:paraId="3E3FBF91" w14:textId="77777777" w:rsidR="008F539B" w:rsidRDefault="008F539B" w:rsidP="00291358">
            <w:pPr>
              <w:spacing w:after="0"/>
              <w:ind w:left="0"/>
              <w:contextualSpacing/>
              <w:rPr>
                <w:rFonts w:ascii="Arial" w:eastAsia="Times New Roman" w:hAnsi="Arial" w:cs="Arial"/>
                <w:lang w:eastAsia="en-GB"/>
              </w:rPr>
            </w:pPr>
          </w:p>
          <w:p w14:paraId="2EA4F904" w14:textId="77777777" w:rsidR="008F539B" w:rsidRDefault="008F539B" w:rsidP="00291358">
            <w:pPr>
              <w:spacing w:after="0"/>
              <w:ind w:left="0"/>
              <w:contextualSpacing/>
              <w:rPr>
                <w:rFonts w:ascii="Arial" w:eastAsia="Times New Roman" w:hAnsi="Arial" w:cs="Arial"/>
                <w:lang w:eastAsia="en-GB"/>
              </w:rPr>
            </w:pPr>
            <w:r>
              <w:rPr>
                <w:rFonts w:ascii="Arial" w:eastAsia="Times New Roman" w:hAnsi="Arial" w:cs="Arial"/>
                <w:lang w:eastAsia="en-GB"/>
              </w:rPr>
              <w:t>Yes</w:t>
            </w:r>
          </w:p>
        </w:tc>
        <w:tc>
          <w:tcPr>
            <w:tcW w:w="3006" w:type="dxa"/>
          </w:tcPr>
          <w:p w14:paraId="09F1D20B" w14:textId="77777777" w:rsidR="008F539B" w:rsidRDefault="008F539B" w:rsidP="00291358">
            <w:pPr>
              <w:spacing w:after="0"/>
              <w:ind w:left="0"/>
              <w:contextualSpacing/>
              <w:rPr>
                <w:rFonts w:ascii="Arial" w:eastAsia="Times New Roman" w:hAnsi="Arial" w:cs="Arial"/>
                <w:lang w:eastAsia="en-GB"/>
              </w:rPr>
            </w:pPr>
          </w:p>
          <w:p w14:paraId="1D139D55" w14:textId="77777777" w:rsidR="008F539B" w:rsidRDefault="008F539B" w:rsidP="00291358">
            <w:pPr>
              <w:spacing w:after="0"/>
              <w:ind w:left="0"/>
              <w:contextualSpacing/>
              <w:rPr>
                <w:rFonts w:ascii="Arial" w:eastAsia="Times New Roman" w:hAnsi="Arial" w:cs="Arial"/>
                <w:lang w:eastAsia="en-GB"/>
              </w:rPr>
            </w:pPr>
            <w:r>
              <w:rPr>
                <w:rFonts w:ascii="Arial" w:eastAsia="Times New Roman" w:hAnsi="Arial" w:cs="Arial"/>
                <w:lang w:eastAsia="en-GB"/>
              </w:rPr>
              <w:t>Charges include the additional services provided</w:t>
            </w:r>
          </w:p>
          <w:p w14:paraId="1487753D" w14:textId="77777777" w:rsidR="008F539B" w:rsidRDefault="008F539B" w:rsidP="00291358">
            <w:pPr>
              <w:spacing w:after="0"/>
              <w:ind w:left="0"/>
              <w:contextualSpacing/>
              <w:rPr>
                <w:rFonts w:ascii="Arial" w:eastAsia="Times New Roman" w:hAnsi="Arial" w:cs="Arial"/>
                <w:lang w:eastAsia="en-GB"/>
              </w:rPr>
            </w:pPr>
          </w:p>
        </w:tc>
      </w:tr>
    </w:tbl>
    <w:p w14:paraId="198F4457" w14:textId="77777777" w:rsidR="00A5036C" w:rsidRDefault="00A5036C" w:rsidP="00291358">
      <w:pPr>
        <w:spacing w:after="0"/>
        <w:ind w:left="0"/>
        <w:contextualSpacing/>
        <w:rPr>
          <w:rFonts w:ascii="Arial" w:eastAsia="Times New Roman" w:hAnsi="Arial" w:cs="Arial"/>
          <w:lang w:eastAsia="en-GB"/>
        </w:rPr>
      </w:pPr>
    </w:p>
    <w:p w14:paraId="283D773A" w14:textId="77777777" w:rsidR="00A5036C" w:rsidRDefault="00A5036C" w:rsidP="00291358">
      <w:pPr>
        <w:spacing w:after="0"/>
        <w:ind w:left="0"/>
        <w:contextualSpacing/>
        <w:rPr>
          <w:rFonts w:ascii="Arial" w:eastAsia="Times New Roman" w:hAnsi="Arial" w:cs="Arial"/>
          <w:lang w:eastAsia="en-GB"/>
        </w:rPr>
      </w:pPr>
    </w:p>
    <w:p w14:paraId="5913B9B2" w14:textId="5552C8E3" w:rsidR="006E284F" w:rsidRPr="009364CE" w:rsidRDefault="006E284F" w:rsidP="00291358">
      <w:pPr>
        <w:spacing w:after="0"/>
        <w:ind w:left="0"/>
        <w:contextualSpacing/>
        <w:rPr>
          <w:rFonts w:ascii="Arial" w:hAnsi="Arial" w:cs="Arial"/>
        </w:rPr>
      </w:pPr>
      <w:r w:rsidRPr="009364CE">
        <w:rPr>
          <w:rFonts w:ascii="Arial" w:hAnsi="Arial" w:cs="Arial"/>
        </w:rPr>
        <w:t>Where there has been a right to buy application in the last five years WCHG will ensure that repairs charges (including major works) do not exceed the amounts as quoted on the section 125 notice</w:t>
      </w:r>
      <w:r w:rsidR="006E0785">
        <w:rPr>
          <w:rFonts w:ascii="Arial" w:hAnsi="Arial" w:cs="Arial"/>
        </w:rPr>
        <w:t>. See section 5.9 for applications and service costs.</w:t>
      </w:r>
    </w:p>
    <w:p w14:paraId="64C7C265" w14:textId="49433D48" w:rsidR="00E734DA" w:rsidRDefault="00E734DA" w:rsidP="00291358">
      <w:pPr>
        <w:spacing w:after="0"/>
        <w:ind w:left="0"/>
        <w:contextualSpacing/>
        <w:rPr>
          <w:rFonts w:ascii="Arial" w:eastAsia="Times New Roman" w:hAnsi="Arial" w:cs="Arial"/>
          <w:lang w:eastAsia="en-GB"/>
        </w:rPr>
      </w:pPr>
    </w:p>
    <w:p w14:paraId="3392C97A" w14:textId="77777777" w:rsidR="00CF3F22" w:rsidRPr="009364CE" w:rsidRDefault="00CF3F22" w:rsidP="00291358">
      <w:pPr>
        <w:spacing w:after="0"/>
        <w:ind w:left="0"/>
        <w:contextualSpacing/>
        <w:rPr>
          <w:rFonts w:ascii="Arial" w:eastAsia="Times New Roman" w:hAnsi="Arial" w:cs="Arial"/>
          <w:lang w:eastAsia="en-GB"/>
        </w:rPr>
      </w:pPr>
    </w:p>
    <w:p w14:paraId="5E7989A3" w14:textId="77777777" w:rsidR="00A51F72" w:rsidRPr="00A51F72" w:rsidRDefault="00A51F72" w:rsidP="00A51F72">
      <w:pPr>
        <w:spacing w:after="0" w:line="259" w:lineRule="auto"/>
        <w:ind w:left="0"/>
        <w:jc w:val="left"/>
        <w:rPr>
          <w:rFonts w:ascii="Arial" w:eastAsiaTheme="minorHAnsi" w:hAnsi="Arial" w:cs="Arial"/>
          <w:b/>
          <w:bCs/>
          <w:lang w:eastAsia="en-GB"/>
        </w:rPr>
      </w:pPr>
      <w:r w:rsidRPr="00A51F72">
        <w:rPr>
          <w:rFonts w:ascii="Arial" w:eastAsiaTheme="minorHAnsi" w:hAnsi="Arial" w:cs="Arial"/>
          <w:b/>
          <w:bCs/>
          <w:lang w:eastAsia="en-GB"/>
        </w:rPr>
        <w:lastRenderedPageBreak/>
        <w:t>Exclusions</w:t>
      </w:r>
    </w:p>
    <w:p w14:paraId="77A21019" w14:textId="77777777" w:rsidR="00A51F72" w:rsidRPr="00A51F72" w:rsidRDefault="00A51F72" w:rsidP="00A51F72">
      <w:pPr>
        <w:spacing w:after="0" w:line="259" w:lineRule="auto"/>
        <w:ind w:left="0"/>
        <w:jc w:val="left"/>
        <w:rPr>
          <w:rFonts w:ascii="Arial" w:eastAsiaTheme="minorHAnsi" w:hAnsi="Arial" w:cs="Arial"/>
          <w:b/>
          <w:bCs/>
          <w:lang w:eastAsia="en-GB"/>
        </w:rPr>
      </w:pPr>
    </w:p>
    <w:p w14:paraId="1F507FC7" w14:textId="75B36EB8" w:rsidR="00A51F72" w:rsidRPr="00A51F72" w:rsidRDefault="00A51F72" w:rsidP="00A51F72">
      <w:pPr>
        <w:spacing w:after="120" w:line="259" w:lineRule="auto"/>
        <w:ind w:left="0"/>
        <w:rPr>
          <w:rFonts w:ascii="Arial" w:eastAsiaTheme="minorHAnsi" w:hAnsi="Arial" w:cs="Arial"/>
          <w:lang w:eastAsia="en-GB"/>
        </w:rPr>
      </w:pPr>
      <w:r w:rsidRPr="00A51F72">
        <w:rPr>
          <w:rFonts w:ascii="Arial" w:eastAsiaTheme="minorHAnsi" w:hAnsi="Arial" w:cs="Arial"/>
          <w:lang w:eastAsia="en-GB"/>
        </w:rPr>
        <w:t>Certain items of expenditure will always be excluded from the service charge for a rented property as they are met from the rent</w:t>
      </w:r>
      <w:r w:rsidR="009760F3">
        <w:rPr>
          <w:rFonts w:ascii="Arial" w:eastAsiaTheme="minorHAnsi" w:hAnsi="Arial" w:cs="Arial"/>
          <w:lang w:eastAsia="en-GB"/>
        </w:rPr>
        <w:t xml:space="preserve"> (see rent policy)</w:t>
      </w:r>
      <w:r w:rsidRPr="00A51F72">
        <w:rPr>
          <w:rFonts w:ascii="Arial" w:eastAsiaTheme="minorHAnsi" w:hAnsi="Arial" w:cs="Arial"/>
          <w:lang w:eastAsia="en-GB"/>
        </w:rPr>
        <w:t xml:space="preserve"> and defined as statutory repairing obligations under section 11 of the Landlord &amp; Tenants Act 1985, including:</w:t>
      </w:r>
    </w:p>
    <w:p w14:paraId="6E42AFF6" w14:textId="77777777" w:rsidR="00A51F72" w:rsidRPr="00A51F72" w:rsidRDefault="00A51F72" w:rsidP="00A51F72">
      <w:pPr>
        <w:numPr>
          <w:ilvl w:val="0"/>
          <w:numId w:val="39"/>
        </w:numPr>
        <w:spacing w:after="0" w:line="259" w:lineRule="auto"/>
        <w:contextualSpacing/>
        <w:jc w:val="left"/>
        <w:rPr>
          <w:rFonts w:ascii="Arial" w:eastAsiaTheme="minorHAnsi" w:hAnsi="Arial" w:cs="Arial"/>
        </w:rPr>
      </w:pPr>
      <w:r w:rsidRPr="00A51F72">
        <w:rPr>
          <w:rFonts w:ascii="Arial" w:eastAsiaTheme="minorHAnsi" w:hAnsi="Arial" w:cs="Arial"/>
        </w:rPr>
        <w:t>Cost of Housing Management</w:t>
      </w:r>
    </w:p>
    <w:p w14:paraId="0F6552D4" w14:textId="77777777" w:rsidR="00A51F72" w:rsidRPr="00A51F72" w:rsidRDefault="00A51F72" w:rsidP="00A51F72">
      <w:pPr>
        <w:numPr>
          <w:ilvl w:val="0"/>
          <w:numId w:val="39"/>
        </w:numPr>
        <w:spacing w:after="0" w:line="259" w:lineRule="auto"/>
        <w:contextualSpacing/>
        <w:jc w:val="left"/>
        <w:rPr>
          <w:rFonts w:ascii="Arial" w:eastAsiaTheme="minorHAnsi" w:hAnsi="Arial" w:cs="Arial"/>
        </w:rPr>
      </w:pPr>
      <w:r w:rsidRPr="00A51F72">
        <w:rPr>
          <w:rFonts w:ascii="Arial" w:eastAsiaTheme="minorHAnsi" w:hAnsi="Arial" w:cs="Arial"/>
        </w:rPr>
        <w:t>Maintenance of the structure and exterior of the building</w:t>
      </w:r>
    </w:p>
    <w:p w14:paraId="3D273634" w14:textId="77777777" w:rsidR="00A51F72" w:rsidRPr="00A51F72" w:rsidRDefault="00A51F72" w:rsidP="00A51F72">
      <w:pPr>
        <w:numPr>
          <w:ilvl w:val="0"/>
          <w:numId w:val="39"/>
        </w:numPr>
        <w:spacing w:after="0" w:line="259" w:lineRule="auto"/>
        <w:contextualSpacing/>
        <w:jc w:val="left"/>
        <w:rPr>
          <w:rFonts w:ascii="Arial" w:eastAsiaTheme="minorHAnsi" w:hAnsi="Arial" w:cs="Arial"/>
        </w:rPr>
      </w:pPr>
      <w:r w:rsidRPr="00A51F72">
        <w:rPr>
          <w:rFonts w:ascii="Arial" w:eastAsiaTheme="minorHAnsi" w:hAnsi="Arial" w:cs="Arial"/>
        </w:rPr>
        <w:t>Building insurance</w:t>
      </w:r>
    </w:p>
    <w:p w14:paraId="245742A8" w14:textId="77777777" w:rsidR="00A51F72" w:rsidRPr="00A51F72" w:rsidRDefault="00A51F72" w:rsidP="00A51F72">
      <w:pPr>
        <w:numPr>
          <w:ilvl w:val="0"/>
          <w:numId w:val="39"/>
        </w:numPr>
        <w:spacing w:after="0" w:line="259" w:lineRule="auto"/>
        <w:contextualSpacing/>
        <w:jc w:val="left"/>
        <w:rPr>
          <w:rFonts w:ascii="Arial" w:eastAsiaTheme="minorHAnsi" w:hAnsi="Arial" w:cs="Arial"/>
        </w:rPr>
      </w:pPr>
      <w:r w:rsidRPr="00A51F72">
        <w:rPr>
          <w:rFonts w:ascii="Arial" w:eastAsiaTheme="minorHAnsi" w:hAnsi="Arial" w:cs="Arial"/>
        </w:rPr>
        <w:t xml:space="preserve">Renewal of Equipment provisions (where equipment is part of </w:t>
      </w:r>
      <w:r w:rsidR="00CC67AA" w:rsidRPr="009364CE">
        <w:rPr>
          <w:rFonts w:ascii="Arial" w:eastAsiaTheme="minorHAnsi" w:hAnsi="Arial" w:cs="Arial"/>
        </w:rPr>
        <w:t>(</w:t>
      </w:r>
      <w:r w:rsidRPr="00A51F72">
        <w:rPr>
          <w:rFonts w:ascii="Arial" w:eastAsiaTheme="minorHAnsi" w:hAnsi="Arial" w:cs="Arial"/>
        </w:rPr>
        <w:t>repairing responsibilities).</w:t>
      </w:r>
    </w:p>
    <w:p w14:paraId="42A4F1BC" w14:textId="77777777" w:rsidR="00E734DA" w:rsidRDefault="00E734DA" w:rsidP="00291358">
      <w:pPr>
        <w:spacing w:after="0"/>
        <w:ind w:left="0"/>
        <w:contextualSpacing/>
        <w:rPr>
          <w:rFonts w:ascii="Arial" w:eastAsia="Times New Roman" w:hAnsi="Arial" w:cs="Arial"/>
          <w:lang w:eastAsia="en-GB"/>
        </w:rPr>
      </w:pPr>
    </w:p>
    <w:p w14:paraId="4CDA96CF" w14:textId="77777777" w:rsidR="00A5036C" w:rsidRPr="009B0C8C" w:rsidRDefault="009B0C8C" w:rsidP="00291358">
      <w:pPr>
        <w:spacing w:after="0"/>
        <w:ind w:left="0"/>
        <w:contextualSpacing/>
        <w:rPr>
          <w:rFonts w:ascii="Arial" w:eastAsia="Times New Roman" w:hAnsi="Arial" w:cs="Arial"/>
          <w:b/>
          <w:lang w:eastAsia="en-GB"/>
        </w:rPr>
      </w:pPr>
      <w:r w:rsidRPr="009B0C8C">
        <w:rPr>
          <w:rFonts w:ascii="Arial" w:eastAsia="Times New Roman" w:hAnsi="Arial" w:cs="Arial"/>
          <w:b/>
          <w:lang w:eastAsia="en-GB"/>
        </w:rPr>
        <w:t>5.3 What Costs are Service Charged</w:t>
      </w:r>
    </w:p>
    <w:p w14:paraId="78D8510C" w14:textId="77777777" w:rsidR="00A5036C" w:rsidRDefault="00A5036C" w:rsidP="00291358">
      <w:pPr>
        <w:spacing w:after="0"/>
        <w:ind w:left="0"/>
        <w:contextualSpacing/>
        <w:rPr>
          <w:rFonts w:ascii="Arial" w:eastAsia="Times New Roman" w:hAnsi="Arial" w:cs="Arial"/>
          <w:lang w:eastAsia="en-GB"/>
        </w:rPr>
      </w:pPr>
    </w:p>
    <w:p w14:paraId="1DAA2F00" w14:textId="77777777" w:rsidR="00A5036C" w:rsidRDefault="009B0C8C" w:rsidP="00291358">
      <w:pPr>
        <w:spacing w:after="0"/>
        <w:ind w:left="0"/>
        <w:contextualSpacing/>
        <w:rPr>
          <w:rFonts w:ascii="Arial" w:eastAsia="Times New Roman" w:hAnsi="Arial" w:cs="Arial"/>
          <w:lang w:eastAsia="en-GB"/>
        </w:rPr>
      </w:pPr>
      <w:r>
        <w:rPr>
          <w:rFonts w:ascii="Arial" w:eastAsia="Times New Roman" w:hAnsi="Arial" w:cs="Arial"/>
          <w:lang w:eastAsia="en-GB"/>
        </w:rPr>
        <w:t>There are a variety of costs associated with maintaining buildings and these costs are passed on to customers via service charges.</w:t>
      </w:r>
      <w:r w:rsidR="00643379">
        <w:rPr>
          <w:rFonts w:ascii="Arial" w:eastAsia="Times New Roman" w:hAnsi="Arial" w:cs="Arial"/>
          <w:lang w:eastAsia="en-GB"/>
        </w:rPr>
        <w:t xml:space="preserve"> The definition of the costs </w:t>
      </w:r>
      <w:proofErr w:type="gramStart"/>
      <w:r w:rsidR="00643379">
        <w:rPr>
          <w:rFonts w:ascii="Arial" w:eastAsia="Times New Roman" w:hAnsi="Arial" w:cs="Arial"/>
          <w:lang w:eastAsia="en-GB"/>
        </w:rPr>
        <w:t>are</w:t>
      </w:r>
      <w:proofErr w:type="gramEnd"/>
      <w:r w:rsidR="00643379">
        <w:rPr>
          <w:rFonts w:ascii="Arial" w:eastAsia="Times New Roman" w:hAnsi="Arial" w:cs="Arial"/>
          <w:lang w:eastAsia="en-GB"/>
        </w:rPr>
        <w:t xml:space="preserve"> detailed in the Glossary to ensure clarity.</w:t>
      </w:r>
      <w:r w:rsidR="009364CE">
        <w:rPr>
          <w:rFonts w:ascii="Arial" w:eastAsia="Times New Roman" w:hAnsi="Arial" w:cs="Arial"/>
          <w:lang w:eastAsia="en-GB"/>
        </w:rPr>
        <w:t xml:space="preserve"> This glossary will be updated to reflect changes to new or redundant charge headings and definitions.</w:t>
      </w:r>
    </w:p>
    <w:p w14:paraId="24AD829B" w14:textId="77777777" w:rsidR="00947026" w:rsidRDefault="00947026" w:rsidP="00291358">
      <w:pPr>
        <w:spacing w:after="0"/>
        <w:ind w:left="0"/>
        <w:contextualSpacing/>
        <w:rPr>
          <w:rFonts w:ascii="Arial" w:eastAsia="Times New Roman" w:hAnsi="Arial" w:cs="Arial"/>
          <w:lang w:eastAsia="en-GB"/>
        </w:rPr>
      </w:pPr>
    </w:p>
    <w:p w14:paraId="2F783EA4" w14:textId="77777777" w:rsidR="00291358" w:rsidRPr="00947026" w:rsidRDefault="00291358" w:rsidP="00291358">
      <w:pPr>
        <w:spacing w:after="0"/>
        <w:ind w:left="0"/>
        <w:contextualSpacing/>
        <w:rPr>
          <w:rFonts w:ascii="Arial" w:eastAsia="Times New Roman" w:hAnsi="Arial" w:cs="Arial"/>
          <w:b/>
          <w:lang w:eastAsia="en-GB"/>
        </w:rPr>
      </w:pPr>
      <w:r w:rsidRPr="00947026">
        <w:rPr>
          <w:rFonts w:ascii="Arial" w:eastAsia="Times New Roman" w:hAnsi="Arial" w:cs="Arial"/>
          <w:b/>
          <w:lang w:eastAsia="en-GB"/>
        </w:rPr>
        <w:t>5.</w:t>
      </w:r>
      <w:r w:rsidR="00E37B83">
        <w:rPr>
          <w:rFonts w:ascii="Arial" w:eastAsia="Times New Roman" w:hAnsi="Arial" w:cs="Arial"/>
          <w:b/>
          <w:lang w:eastAsia="en-GB"/>
        </w:rPr>
        <w:t>4</w:t>
      </w:r>
      <w:r w:rsidRPr="00947026">
        <w:rPr>
          <w:rFonts w:ascii="Arial" w:eastAsia="Times New Roman" w:hAnsi="Arial" w:cs="Arial"/>
          <w:b/>
          <w:lang w:eastAsia="en-GB"/>
        </w:rPr>
        <w:t xml:space="preserve"> How we will estimate costs</w:t>
      </w:r>
    </w:p>
    <w:p w14:paraId="3307D440" w14:textId="77777777" w:rsidR="00291358" w:rsidRDefault="00291358" w:rsidP="00291358">
      <w:pPr>
        <w:spacing w:after="0"/>
        <w:ind w:left="0"/>
        <w:contextualSpacing/>
        <w:rPr>
          <w:rFonts w:ascii="Arial" w:eastAsia="Times New Roman" w:hAnsi="Arial" w:cs="Arial"/>
          <w:lang w:eastAsia="en-GB"/>
        </w:rPr>
      </w:pPr>
    </w:p>
    <w:p w14:paraId="4E665758" w14:textId="77777777" w:rsidR="00291358" w:rsidRDefault="00F91C06" w:rsidP="00291358">
      <w:pPr>
        <w:spacing w:after="0"/>
        <w:ind w:left="0"/>
        <w:contextualSpacing/>
        <w:rPr>
          <w:rFonts w:ascii="Arial" w:eastAsia="Times New Roman" w:hAnsi="Arial" w:cs="Arial"/>
          <w:lang w:eastAsia="en-GB"/>
        </w:rPr>
      </w:pPr>
      <w:r>
        <w:rPr>
          <w:rFonts w:ascii="Arial" w:eastAsia="Times New Roman" w:hAnsi="Arial" w:cs="Arial"/>
          <w:lang w:eastAsia="en-GB"/>
        </w:rPr>
        <w:t xml:space="preserve">Estimated costs will be based on the </w:t>
      </w:r>
      <w:r w:rsidR="00975050">
        <w:rPr>
          <w:rFonts w:ascii="Arial" w:eastAsia="Times New Roman" w:hAnsi="Arial" w:cs="Arial"/>
          <w:lang w:eastAsia="en-GB"/>
        </w:rPr>
        <w:t>following principles</w:t>
      </w:r>
      <w:r w:rsidR="00E95B6B">
        <w:rPr>
          <w:rFonts w:ascii="Arial" w:eastAsia="Times New Roman" w:hAnsi="Arial" w:cs="Arial"/>
          <w:lang w:eastAsia="en-GB"/>
        </w:rPr>
        <w:t>.</w:t>
      </w:r>
    </w:p>
    <w:p w14:paraId="4731985F" w14:textId="77777777" w:rsidR="00F91C06" w:rsidRDefault="00F91C06" w:rsidP="00291358">
      <w:pPr>
        <w:spacing w:after="0"/>
        <w:ind w:left="0"/>
        <w:contextualSpacing/>
        <w:rPr>
          <w:rFonts w:ascii="Arial" w:eastAsia="Times New Roman" w:hAnsi="Arial" w:cs="Arial"/>
          <w:lang w:eastAsia="en-GB"/>
        </w:rPr>
      </w:pPr>
    </w:p>
    <w:p w14:paraId="54AF4057" w14:textId="77777777" w:rsidR="00F91C06" w:rsidRPr="00F91C06" w:rsidRDefault="00F91C06" w:rsidP="00F91C06">
      <w:pPr>
        <w:spacing w:after="160" w:line="259" w:lineRule="auto"/>
        <w:ind w:left="0"/>
        <w:jc w:val="left"/>
        <w:rPr>
          <w:rFonts w:ascii="Arial" w:eastAsiaTheme="minorHAnsi" w:hAnsi="Arial" w:cs="Arial"/>
        </w:rPr>
      </w:pPr>
      <w:r w:rsidRPr="00F91C06">
        <w:rPr>
          <w:rFonts w:ascii="Arial" w:eastAsiaTheme="minorHAnsi" w:hAnsi="Arial" w:cs="Arial"/>
        </w:rPr>
        <w:t>There are a number of factors which can influence these charges</w:t>
      </w:r>
      <w:r w:rsidR="009364CE">
        <w:rPr>
          <w:rFonts w:ascii="Arial" w:eastAsiaTheme="minorHAnsi" w:hAnsi="Arial" w:cs="Arial"/>
        </w:rPr>
        <w:t>,</w:t>
      </w:r>
      <w:r w:rsidRPr="00F91C06">
        <w:rPr>
          <w:rFonts w:ascii="Arial" w:eastAsiaTheme="minorHAnsi" w:hAnsi="Arial" w:cs="Arial"/>
        </w:rPr>
        <w:t xml:space="preserve"> such as increased usage, unexpected breakdowns, physical damage, new regulations we have to comply with etc. that we are unable to predict based on past costs so we do not factor these unknowns in.</w:t>
      </w:r>
    </w:p>
    <w:p w14:paraId="62441C8D" w14:textId="77777777" w:rsidR="00F91C06" w:rsidRPr="00F91C06" w:rsidRDefault="00F91C06" w:rsidP="00F91C06">
      <w:pPr>
        <w:spacing w:after="160" w:line="259" w:lineRule="auto"/>
        <w:ind w:left="0"/>
        <w:jc w:val="left"/>
        <w:rPr>
          <w:rFonts w:ascii="Arial" w:eastAsiaTheme="minorHAnsi" w:hAnsi="Arial" w:cs="Arial"/>
        </w:rPr>
      </w:pPr>
      <w:r w:rsidRPr="00F91C06">
        <w:rPr>
          <w:rFonts w:ascii="Arial" w:eastAsiaTheme="minorHAnsi" w:hAnsi="Arial" w:cs="Arial"/>
        </w:rPr>
        <w:t>The values we can use will be the estimated charges which we reasonably expect to incur in providing the services at the properties in which these customers have their homes.</w:t>
      </w:r>
    </w:p>
    <w:p w14:paraId="6A0829FB" w14:textId="77777777" w:rsidR="00F91C06" w:rsidRPr="00F91C06" w:rsidRDefault="00F91C06" w:rsidP="00F91C06">
      <w:pPr>
        <w:spacing w:after="160" w:line="259" w:lineRule="auto"/>
        <w:ind w:left="0"/>
        <w:jc w:val="left"/>
        <w:rPr>
          <w:rFonts w:ascii="Arial" w:eastAsiaTheme="minorHAnsi" w:hAnsi="Arial" w:cs="Arial"/>
        </w:rPr>
      </w:pPr>
      <w:r w:rsidRPr="00F91C06">
        <w:rPr>
          <w:rFonts w:ascii="Arial" w:eastAsiaTheme="minorHAnsi" w:hAnsi="Arial" w:cs="Arial"/>
        </w:rPr>
        <w:t>We will estimate these charges based on:</w:t>
      </w:r>
    </w:p>
    <w:p w14:paraId="563F7D71" w14:textId="77777777" w:rsidR="00F91C06" w:rsidRPr="00F91C06" w:rsidRDefault="00F91C06" w:rsidP="00F91C06">
      <w:pPr>
        <w:numPr>
          <w:ilvl w:val="0"/>
          <w:numId w:val="15"/>
        </w:numPr>
        <w:spacing w:after="160" w:line="259" w:lineRule="auto"/>
        <w:contextualSpacing/>
        <w:jc w:val="left"/>
        <w:rPr>
          <w:rFonts w:ascii="Arial" w:eastAsiaTheme="minorHAnsi" w:hAnsi="Arial" w:cs="Arial"/>
        </w:rPr>
      </w:pPr>
      <w:r w:rsidRPr="00F91C06">
        <w:rPr>
          <w:rFonts w:ascii="Arial" w:eastAsiaTheme="minorHAnsi" w:hAnsi="Arial" w:cs="Arial"/>
        </w:rPr>
        <w:t>The actual costs incurred and passed to the customer in the</w:t>
      </w:r>
      <w:r w:rsidR="009364CE">
        <w:rPr>
          <w:rFonts w:ascii="Arial" w:eastAsiaTheme="minorHAnsi" w:hAnsi="Arial" w:cs="Arial"/>
        </w:rPr>
        <w:t xml:space="preserve"> prior year e.g. </w:t>
      </w:r>
      <w:r w:rsidRPr="00F91C06">
        <w:rPr>
          <w:rFonts w:ascii="Arial" w:eastAsiaTheme="minorHAnsi" w:hAnsi="Arial" w:cs="Arial"/>
        </w:rPr>
        <w:t>April 2023 to March 2024.</w:t>
      </w:r>
    </w:p>
    <w:p w14:paraId="5CBC2A2C" w14:textId="39E22DEE" w:rsidR="00F91C06" w:rsidRPr="00F91C06" w:rsidRDefault="00F91C06" w:rsidP="00F91C06">
      <w:pPr>
        <w:numPr>
          <w:ilvl w:val="0"/>
          <w:numId w:val="15"/>
        </w:numPr>
        <w:spacing w:after="160" w:line="259" w:lineRule="auto"/>
        <w:contextualSpacing/>
        <w:jc w:val="left"/>
        <w:rPr>
          <w:rFonts w:ascii="Arial" w:eastAsiaTheme="minorHAnsi" w:hAnsi="Arial" w:cs="Arial"/>
        </w:rPr>
      </w:pPr>
      <w:r w:rsidRPr="00F91C06">
        <w:rPr>
          <w:rFonts w:ascii="Arial" w:eastAsiaTheme="minorHAnsi" w:hAnsi="Arial" w:cs="Arial"/>
        </w:rPr>
        <w:t xml:space="preserve">The estimated impact of inflation on these costs in the </w:t>
      </w:r>
      <w:r w:rsidR="009364CE">
        <w:rPr>
          <w:rFonts w:ascii="Arial" w:eastAsiaTheme="minorHAnsi" w:hAnsi="Arial" w:cs="Arial"/>
        </w:rPr>
        <w:t>current year e.g.</w:t>
      </w:r>
      <w:r w:rsidRPr="00F91C06">
        <w:rPr>
          <w:rFonts w:ascii="Arial" w:eastAsiaTheme="minorHAnsi" w:hAnsi="Arial" w:cs="Arial"/>
        </w:rPr>
        <w:t xml:space="preserve"> April 2024 to March 2025 – we are estimating these costs in December 2024 so </w:t>
      </w:r>
      <w:r w:rsidR="00CA7747">
        <w:rPr>
          <w:rFonts w:ascii="Arial" w:eastAsiaTheme="minorHAnsi" w:hAnsi="Arial" w:cs="Arial"/>
        </w:rPr>
        <w:t xml:space="preserve">WCHG </w:t>
      </w:r>
      <w:r w:rsidRPr="00F91C06">
        <w:rPr>
          <w:rFonts w:ascii="Arial" w:eastAsiaTheme="minorHAnsi" w:hAnsi="Arial" w:cs="Arial"/>
        </w:rPr>
        <w:t>won’t have a full picture of cost increase impact at this point</w:t>
      </w:r>
    </w:p>
    <w:p w14:paraId="39AAB6D2" w14:textId="77777777" w:rsidR="00F91C06" w:rsidRPr="00F91C06" w:rsidRDefault="00F91C06" w:rsidP="00F91C06">
      <w:pPr>
        <w:numPr>
          <w:ilvl w:val="0"/>
          <w:numId w:val="15"/>
        </w:numPr>
        <w:spacing w:after="160" w:line="259" w:lineRule="auto"/>
        <w:contextualSpacing/>
        <w:jc w:val="left"/>
        <w:rPr>
          <w:rFonts w:ascii="Arial" w:eastAsiaTheme="minorHAnsi" w:hAnsi="Arial" w:cs="Arial"/>
        </w:rPr>
      </w:pPr>
      <w:r w:rsidRPr="00F91C06">
        <w:rPr>
          <w:rFonts w:ascii="Arial" w:eastAsiaTheme="minorHAnsi" w:hAnsi="Arial" w:cs="Arial"/>
        </w:rPr>
        <w:t xml:space="preserve">The forecast impact of inflation during the year in which these costs will be incurred </w:t>
      </w:r>
      <w:r w:rsidR="00FA56BD">
        <w:rPr>
          <w:rFonts w:ascii="Arial" w:eastAsiaTheme="minorHAnsi" w:hAnsi="Arial" w:cs="Arial"/>
        </w:rPr>
        <w:t>e.g.</w:t>
      </w:r>
      <w:r w:rsidRPr="00F91C06">
        <w:rPr>
          <w:rFonts w:ascii="Arial" w:eastAsiaTheme="minorHAnsi" w:hAnsi="Arial" w:cs="Arial"/>
        </w:rPr>
        <w:t xml:space="preserve"> April 2025 to March 2026</w:t>
      </w:r>
    </w:p>
    <w:p w14:paraId="65347226" w14:textId="77777777" w:rsidR="00F91C06" w:rsidRPr="00F91C06" w:rsidRDefault="00F91C06" w:rsidP="00F91C06">
      <w:pPr>
        <w:numPr>
          <w:ilvl w:val="0"/>
          <w:numId w:val="15"/>
        </w:numPr>
        <w:spacing w:after="160" w:line="259" w:lineRule="auto"/>
        <w:contextualSpacing/>
        <w:jc w:val="left"/>
        <w:rPr>
          <w:rFonts w:ascii="Arial" w:eastAsiaTheme="minorHAnsi" w:hAnsi="Arial" w:cs="Arial"/>
        </w:rPr>
      </w:pPr>
      <w:r w:rsidRPr="00F91C06">
        <w:rPr>
          <w:rFonts w:ascii="Arial" w:eastAsiaTheme="minorHAnsi" w:hAnsi="Arial" w:cs="Arial"/>
        </w:rPr>
        <w:t>Any known changes in costs relating to contract renewals or the end of a fixed term contract and the start of a new contract</w:t>
      </w:r>
    </w:p>
    <w:p w14:paraId="280C102C" w14:textId="77777777" w:rsidR="00F91C06" w:rsidRDefault="00F91C06" w:rsidP="00F91C06">
      <w:pPr>
        <w:numPr>
          <w:ilvl w:val="0"/>
          <w:numId w:val="15"/>
        </w:numPr>
        <w:spacing w:after="160" w:line="259" w:lineRule="auto"/>
        <w:contextualSpacing/>
        <w:jc w:val="left"/>
        <w:rPr>
          <w:rFonts w:ascii="Arial" w:eastAsiaTheme="minorHAnsi" w:hAnsi="Arial" w:cs="Arial"/>
        </w:rPr>
      </w:pPr>
      <w:r w:rsidRPr="00F91C06">
        <w:rPr>
          <w:rFonts w:ascii="Arial" w:eastAsiaTheme="minorHAnsi" w:hAnsi="Arial" w:cs="Arial"/>
        </w:rPr>
        <w:t xml:space="preserve">Any other know cost increases we can reasonably quantify that will impact costs during the </w:t>
      </w:r>
      <w:r w:rsidR="00FA56BD">
        <w:rPr>
          <w:rFonts w:ascii="Arial" w:eastAsiaTheme="minorHAnsi" w:hAnsi="Arial" w:cs="Arial"/>
        </w:rPr>
        <w:t xml:space="preserve">period of the estimate for the new </w:t>
      </w:r>
      <w:r w:rsidRPr="00F91C06">
        <w:rPr>
          <w:rFonts w:ascii="Arial" w:eastAsiaTheme="minorHAnsi" w:hAnsi="Arial" w:cs="Arial"/>
        </w:rPr>
        <w:t xml:space="preserve">year </w:t>
      </w:r>
      <w:r w:rsidR="00FA56BD">
        <w:rPr>
          <w:rFonts w:ascii="Arial" w:eastAsiaTheme="minorHAnsi" w:hAnsi="Arial" w:cs="Arial"/>
        </w:rPr>
        <w:t xml:space="preserve">e.g. </w:t>
      </w:r>
      <w:r w:rsidRPr="00F91C06">
        <w:rPr>
          <w:rFonts w:ascii="Arial" w:eastAsiaTheme="minorHAnsi" w:hAnsi="Arial" w:cs="Arial"/>
        </w:rPr>
        <w:t>April 2024 to March 2025 or April 2025 to March 2026</w:t>
      </w:r>
    </w:p>
    <w:p w14:paraId="71D51ED4" w14:textId="77777777" w:rsidR="007020A4" w:rsidRPr="00F91C06" w:rsidRDefault="007020A4" w:rsidP="007020A4">
      <w:pPr>
        <w:spacing w:after="160" w:line="259" w:lineRule="auto"/>
        <w:ind w:left="765"/>
        <w:contextualSpacing/>
        <w:jc w:val="left"/>
        <w:rPr>
          <w:rFonts w:ascii="Arial" w:eastAsiaTheme="minorHAnsi" w:hAnsi="Arial" w:cs="Arial"/>
        </w:rPr>
      </w:pPr>
    </w:p>
    <w:p w14:paraId="180CA9B9" w14:textId="3508E5EB" w:rsidR="00F91C06" w:rsidRPr="00F91C06" w:rsidRDefault="00F91C06" w:rsidP="00F91C06">
      <w:pPr>
        <w:spacing w:after="160" w:line="259" w:lineRule="auto"/>
        <w:ind w:left="0"/>
        <w:jc w:val="left"/>
        <w:rPr>
          <w:rFonts w:ascii="Arial" w:eastAsiaTheme="minorHAnsi" w:hAnsi="Arial" w:cs="Arial"/>
        </w:rPr>
      </w:pPr>
      <w:r w:rsidRPr="00F91C06">
        <w:rPr>
          <w:rFonts w:ascii="Arial" w:eastAsiaTheme="minorHAnsi" w:hAnsi="Arial" w:cs="Arial"/>
        </w:rPr>
        <w:t xml:space="preserve">By doing this, and providing there are no unexpected costs or changes in costs, the difference between the amount paid during the year (the estimate) and the actual costs </w:t>
      </w:r>
      <w:r w:rsidR="00DA6601">
        <w:rPr>
          <w:rFonts w:ascii="Arial" w:eastAsiaTheme="minorHAnsi" w:hAnsi="Arial" w:cs="Arial"/>
        </w:rPr>
        <w:t>WCHG</w:t>
      </w:r>
      <w:r w:rsidRPr="00F91C06">
        <w:rPr>
          <w:rFonts w:ascii="Arial" w:eastAsiaTheme="minorHAnsi" w:hAnsi="Arial" w:cs="Arial"/>
        </w:rPr>
        <w:t xml:space="preserve"> incur and pass onto our customers will be minim</w:t>
      </w:r>
      <w:r w:rsidR="007020A4">
        <w:rPr>
          <w:rFonts w:ascii="Arial" w:eastAsiaTheme="minorHAnsi" w:hAnsi="Arial" w:cs="Arial"/>
        </w:rPr>
        <w:t>ised</w:t>
      </w:r>
      <w:r w:rsidRPr="00F91C06">
        <w:rPr>
          <w:rFonts w:ascii="Arial" w:eastAsiaTheme="minorHAnsi" w:hAnsi="Arial" w:cs="Arial"/>
        </w:rPr>
        <w:t xml:space="preserve">.  </w:t>
      </w:r>
      <w:r w:rsidR="00FA56BD">
        <w:rPr>
          <w:rFonts w:ascii="Arial" w:eastAsiaTheme="minorHAnsi" w:hAnsi="Arial" w:cs="Arial"/>
        </w:rPr>
        <w:t>The aim is to minimise the value of the surplus/deficit.</w:t>
      </w:r>
    </w:p>
    <w:p w14:paraId="38D7D7AE" w14:textId="43BDE630" w:rsidR="00E95B6B" w:rsidRPr="00E95B6B" w:rsidRDefault="00E95B6B" w:rsidP="00E95B6B">
      <w:pPr>
        <w:spacing w:after="160" w:line="259" w:lineRule="auto"/>
        <w:ind w:left="0"/>
        <w:jc w:val="left"/>
        <w:rPr>
          <w:rFonts w:ascii="Arial" w:eastAsiaTheme="minorHAnsi" w:hAnsi="Arial" w:cs="Arial"/>
        </w:rPr>
      </w:pPr>
      <w:r w:rsidRPr="00E95B6B">
        <w:rPr>
          <w:rFonts w:ascii="Arial" w:eastAsiaTheme="minorHAnsi" w:hAnsi="Arial" w:cs="Arial"/>
        </w:rPr>
        <w:t xml:space="preserve">When setting the estimate for customers </w:t>
      </w:r>
      <w:r w:rsidR="00E30749">
        <w:rPr>
          <w:rFonts w:ascii="Arial" w:eastAsiaTheme="minorHAnsi" w:hAnsi="Arial" w:cs="Arial"/>
        </w:rPr>
        <w:t>WCHG</w:t>
      </w:r>
      <w:r w:rsidRPr="00E95B6B">
        <w:rPr>
          <w:rFonts w:ascii="Arial" w:eastAsiaTheme="minorHAnsi" w:hAnsi="Arial" w:cs="Arial"/>
        </w:rPr>
        <w:t xml:space="preserve"> will provide details of the basis on which </w:t>
      </w:r>
      <w:r w:rsidR="00E30749">
        <w:rPr>
          <w:rFonts w:ascii="Arial" w:eastAsiaTheme="minorHAnsi" w:hAnsi="Arial" w:cs="Arial"/>
        </w:rPr>
        <w:t>WCHG</w:t>
      </w:r>
      <w:r w:rsidRPr="00E95B6B">
        <w:rPr>
          <w:rFonts w:ascii="Arial" w:eastAsiaTheme="minorHAnsi" w:hAnsi="Arial" w:cs="Arial"/>
        </w:rPr>
        <w:t xml:space="preserve"> have come to the figures.  This is explained in detail below and this will be summarised in the explanation provided to customers.</w:t>
      </w:r>
    </w:p>
    <w:p w14:paraId="1FA87988" w14:textId="480D68B4" w:rsidR="00E95B6B" w:rsidRDefault="00E95B6B" w:rsidP="00291358">
      <w:pPr>
        <w:spacing w:after="0"/>
        <w:ind w:left="0"/>
        <w:contextualSpacing/>
        <w:rPr>
          <w:rFonts w:ascii="Arial" w:eastAsia="Times New Roman" w:hAnsi="Arial" w:cs="Arial"/>
          <w:lang w:eastAsia="en-GB"/>
        </w:rPr>
      </w:pPr>
      <w:r>
        <w:rPr>
          <w:rFonts w:ascii="Arial" w:eastAsia="Times New Roman" w:hAnsi="Arial" w:cs="Arial"/>
          <w:lang w:eastAsia="en-GB"/>
        </w:rPr>
        <w:lastRenderedPageBreak/>
        <w:t xml:space="preserve">Before </w:t>
      </w:r>
      <w:r w:rsidR="00E30749">
        <w:rPr>
          <w:rFonts w:ascii="Arial" w:eastAsia="Times New Roman" w:hAnsi="Arial" w:cs="Arial"/>
          <w:lang w:eastAsia="en-GB"/>
        </w:rPr>
        <w:t>WCHG</w:t>
      </w:r>
      <w:r>
        <w:rPr>
          <w:rFonts w:ascii="Arial" w:eastAsia="Times New Roman" w:hAnsi="Arial" w:cs="Arial"/>
          <w:lang w:eastAsia="en-GB"/>
        </w:rPr>
        <w:t xml:space="preserve"> commence</w:t>
      </w:r>
      <w:r w:rsidR="00E30749">
        <w:rPr>
          <w:rFonts w:ascii="Arial" w:eastAsia="Times New Roman" w:hAnsi="Arial" w:cs="Arial"/>
          <w:lang w:eastAsia="en-GB"/>
        </w:rPr>
        <w:t>s</w:t>
      </w:r>
      <w:r>
        <w:rPr>
          <w:rFonts w:ascii="Arial" w:eastAsia="Times New Roman" w:hAnsi="Arial" w:cs="Arial"/>
          <w:lang w:eastAsia="en-GB"/>
        </w:rPr>
        <w:t xml:space="preserve"> this exercise each year the factors above will be described </w:t>
      </w:r>
      <w:r w:rsidR="00FA56BD">
        <w:rPr>
          <w:rFonts w:ascii="Arial" w:eastAsia="Times New Roman" w:hAnsi="Arial" w:cs="Arial"/>
          <w:lang w:eastAsia="en-GB"/>
        </w:rPr>
        <w:t xml:space="preserve">and quantified </w:t>
      </w:r>
      <w:r>
        <w:rPr>
          <w:rFonts w:ascii="Arial" w:eastAsia="Times New Roman" w:hAnsi="Arial" w:cs="Arial"/>
          <w:lang w:eastAsia="en-GB"/>
        </w:rPr>
        <w:t>in a paper which will be presented to G</w:t>
      </w:r>
      <w:r w:rsidR="00E30749">
        <w:rPr>
          <w:rFonts w:ascii="Arial" w:eastAsia="Times New Roman" w:hAnsi="Arial" w:cs="Arial"/>
          <w:lang w:eastAsia="en-GB"/>
        </w:rPr>
        <w:t xml:space="preserve">roup </w:t>
      </w:r>
      <w:r>
        <w:rPr>
          <w:rFonts w:ascii="Arial" w:eastAsia="Times New Roman" w:hAnsi="Arial" w:cs="Arial"/>
          <w:lang w:eastAsia="en-GB"/>
        </w:rPr>
        <w:t>L</w:t>
      </w:r>
      <w:r w:rsidR="00E30749">
        <w:rPr>
          <w:rFonts w:ascii="Arial" w:eastAsia="Times New Roman" w:hAnsi="Arial" w:cs="Arial"/>
          <w:lang w:eastAsia="en-GB"/>
        </w:rPr>
        <w:t xml:space="preserve">eadership </w:t>
      </w:r>
      <w:r>
        <w:rPr>
          <w:rFonts w:ascii="Arial" w:eastAsia="Times New Roman" w:hAnsi="Arial" w:cs="Arial"/>
          <w:lang w:eastAsia="en-GB"/>
        </w:rPr>
        <w:t>T</w:t>
      </w:r>
      <w:r w:rsidR="00E30749">
        <w:rPr>
          <w:rFonts w:ascii="Arial" w:eastAsia="Times New Roman" w:hAnsi="Arial" w:cs="Arial"/>
          <w:lang w:eastAsia="en-GB"/>
        </w:rPr>
        <w:t>eam (GLT)</w:t>
      </w:r>
      <w:r>
        <w:rPr>
          <w:rFonts w:ascii="Arial" w:eastAsia="Times New Roman" w:hAnsi="Arial" w:cs="Arial"/>
          <w:lang w:eastAsia="en-GB"/>
        </w:rPr>
        <w:t xml:space="preserve"> for approval.</w:t>
      </w:r>
      <w:r w:rsidR="007020A4">
        <w:rPr>
          <w:rFonts w:ascii="Arial" w:eastAsia="Times New Roman" w:hAnsi="Arial" w:cs="Arial"/>
          <w:lang w:eastAsia="en-GB"/>
        </w:rPr>
        <w:t xml:space="preserve"> </w:t>
      </w:r>
    </w:p>
    <w:p w14:paraId="1D4B1C3E" w14:textId="77777777" w:rsidR="00F91C06" w:rsidRDefault="008F539B" w:rsidP="00291358">
      <w:pPr>
        <w:spacing w:after="0"/>
        <w:ind w:left="0"/>
        <w:contextualSpacing/>
        <w:rPr>
          <w:rFonts w:ascii="Arial" w:eastAsia="Times New Roman" w:hAnsi="Arial" w:cs="Arial"/>
          <w:lang w:eastAsia="en-GB"/>
        </w:rPr>
      </w:pPr>
      <w:r>
        <w:rPr>
          <w:rFonts w:ascii="Arial" w:eastAsia="Times New Roman" w:hAnsi="Arial" w:cs="Arial"/>
          <w:lang w:eastAsia="en-GB"/>
        </w:rPr>
        <w:t>Estimated costs for the year ahead are notified to Customers in February of each year by letter. These estimated costs are payable from 1</w:t>
      </w:r>
      <w:r w:rsidRPr="008F539B">
        <w:rPr>
          <w:rFonts w:ascii="Arial" w:eastAsia="Times New Roman" w:hAnsi="Arial" w:cs="Arial"/>
          <w:vertAlign w:val="superscript"/>
          <w:lang w:eastAsia="en-GB"/>
        </w:rPr>
        <w:t>st</w:t>
      </w:r>
      <w:r>
        <w:rPr>
          <w:rFonts w:ascii="Arial" w:eastAsia="Times New Roman" w:hAnsi="Arial" w:cs="Arial"/>
          <w:lang w:eastAsia="en-GB"/>
        </w:rPr>
        <w:t xml:space="preserve"> April each year.</w:t>
      </w:r>
    </w:p>
    <w:p w14:paraId="65873516" w14:textId="77777777" w:rsidR="008F539B" w:rsidRDefault="008F539B" w:rsidP="00291358">
      <w:pPr>
        <w:spacing w:after="0"/>
        <w:ind w:left="0"/>
        <w:contextualSpacing/>
        <w:rPr>
          <w:rFonts w:ascii="Arial" w:eastAsia="Times New Roman" w:hAnsi="Arial" w:cs="Arial"/>
          <w:lang w:eastAsia="en-GB"/>
        </w:rPr>
      </w:pPr>
    </w:p>
    <w:p w14:paraId="0F0C8089" w14:textId="77777777" w:rsidR="008F539B" w:rsidRDefault="008F539B" w:rsidP="00291358">
      <w:pPr>
        <w:spacing w:after="0"/>
        <w:ind w:left="0"/>
        <w:contextualSpacing/>
        <w:rPr>
          <w:rFonts w:ascii="Arial" w:eastAsia="Times New Roman" w:hAnsi="Arial" w:cs="Arial"/>
          <w:lang w:eastAsia="en-GB"/>
        </w:rPr>
      </w:pPr>
      <w:r>
        <w:rPr>
          <w:rFonts w:ascii="Arial" w:eastAsia="Times New Roman" w:hAnsi="Arial" w:cs="Arial"/>
          <w:lang w:eastAsia="en-GB"/>
        </w:rPr>
        <w:t xml:space="preserve">The costs payable will include any deficit/surplus value identified through the estimate versus actual cost </w:t>
      </w:r>
      <w:r w:rsidR="00FA56BD">
        <w:rPr>
          <w:rFonts w:ascii="Arial" w:eastAsia="Times New Roman" w:hAnsi="Arial" w:cs="Arial"/>
          <w:lang w:eastAsia="en-GB"/>
        </w:rPr>
        <w:t>comparison</w:t>
      </w:r>
      <w:r w:rsidR="00CC67AA">
        <w:rPr>
          <w:rFonts w:ascii="Arial" w:eastAsia="Times New Roman" w:hAnsi="Arial" w:cs="Arial"/>
          <w:lang w:eastAsia="en-GB"/>
        </w:rPr>
        <w:t>.</w:t>
      </w:r>
      <w:r w:rsidR="00FA56BD">
        <w:rPr>
          <w:rFonts w:ascii="Arial" w:eastAsia="Times New Roman" w:hAnsi="Arial" w:cs="Arial"/>
          <w:lang w:eastAsia="en-GB"/>
        </w:rPr>
        <w:t xml:space="preserve"> </w:t>
      </w:r>
      <w:r>
        <w:rPr>
          <w:rFonts w:ascii="Arial" w:eastAsia="Times New Roman" w:hAnsi="Arial" w:cs="Arial"/>
          <w:lang w:eastAsia="en-GB"/>
        </w:rPr>
        <w:t>The total cost will be increased by any deficit and decreased by any surplus</w:t>
      </w:r>
      <w:r w:rsidR="007020A4">
        <w:rPr>
          <w:rFonts w:ascii="Arial" w:eastAsia="Times New Roman" w:hAnsi="Arial" w:cs="Arial"/>
          <w:lang w:eastAsia="en-GB"/>
        </w:rPr>
        <w:t>.</w:t>
      </w:r>
    </w:p>
    <w:p w14:paraId="6DABBEB1" w14:textId="77777777" w:rsidR="00F91C06" w:rsidRDefault="00F91C06" w:rsidP="00291358">
      <w:pPr>
        <w:spacing w:after="0"/>
        <w:ind w:left="0"/>
        <w:contextualSpacing/>
        <w:rPr>
          <w:rFonts w:ascii="Arial" w:eastAsia="Times New Roman" w:hAnsi="Arial" w:cs="Arial"/>
          <w:lang w:eastAsia="en-GB"/>
        </w:rPr>
      </w:pPr>
    </w:p>
    <w:p w14:paraId="70BF6B9B" w14:textId="314F298B" w:rsidR="00291358" w:rsidRPr="00E95B6B" w:rsidRDefault="00291358" w:rsidP="00291358">
      <w:pPr>
        <w:spacing w:after="0"/>
        <w:ind w:left="0"/>
        <w:contextualSpacing/>
        <w:rPr>
          <w:rFonts w:ascii="Arial" w:eastAsia="Times New Roman" w:hAnsi="Arial" w:cs="Arial"/>
          <w:b/>
          <w:lang w:eastAsia="en-GB"/>
        </w:rPr>
      </w:pPr>
      <w:r w:rsidRPr="00E95B6B">
        <w:rPr>
          <w:rFonts w:ascii="Arial" w:eastAsia="Times New Roman" w:hAnsi="Arial" w:cs="Arial"/>
          <w:b/>
          <w:lang w:eastAsia="en-GB"/>
        </w:rPr>
        <w:t>5.</w:t>
      </w:r>
      <w:r w:rsidR="00E83904">
        <w:rPr>
          <w:rFonts w:ascii="Arial" w:eastAsia="Times New Roman" w:hAnsi="Arial" w:cs="Arial"/>
          <w:b/>
          <w:lang w:eastAsia="en-GB"/>
        </w:rPr>
        <w:t>5</w:t>
      </w:r>
      <w:r w:rsidRPr="00E95B6B">
        <w:rPr>
          <w:rFonts w:ascii="Arial" w:eastAsia="Times New Roman" w:hAnsi="Arial" w:cs="Arial"/>
          <w:b/>
          <w:lang w:eastAsia="en-GB"/>
        </w:rPr>
        <w:t xml:space="preserve"> How </w:t>
      </w:r>
      <w:r w:rsidR="00796534">
        <w:rPr>
          <w:rFonts w:ascii="Arial" w:eastAsia="Times New Roman" w:hAnsi="Arial" w:cs="Arial"/>
          <w:b/>
          <w:lang w:eastAsia="en-GB"/>
        </w:rPr>
        <w:t xml:space="preserve">WCHG </w:t>
      </w:r>
      <w:r w:rsidR="00051C41">
        <w:rPr>
          <w:rFonts w:ascii="Arial" w:eastAsia="Times New Roman" w:hAnsi="Arial" w:cs="Arial"/>
          <w:b/>
          <w:lang w:eastAsia="en-GB"/>
        </w:rPr>
        <w:t xml:space="preserve">will </w:t>
      </w:r>
      <w:r w:rsidRPr="00E95B6B">
        <w:rPr>
          <w:rFonts w:ascii="Arial" w:eastAsia="Times New Roman" w:hAnsi="Arial" w:cs="Arial"/>
          <w:b/>
          <w:lang w:eastAsia="en-GB"/>
        </w:rPr>
        <w:t>calculate actual costs</w:t>
      </w:r>
    </w:p>
    <w:p w14:paraId="7A901B4E" w14:textId="77777777" w:rsidR="00291358" w:rsidRPr="00434D7C" w:rsidRDefault="00291358" w:rsidP="00AD1AF5">
      <w:pPr>
        <w:spacing w:after="0"/>
        <w:contextualSpacing/>
        <w:rPr>
          <w:rFonts w:ascii="Arial" w:eastAsia="Times New Roman" w:hAnsi="Arial" w:cs="Arial"/>
          <w:lang w:eastAsia="en-GB"/>
        </w:rPr>
      </w:pPr>
    </w:p>
    <w:p w14:paraId="0574853D" w14:textId="77777777" w:rsidR="00AD1AF5" w:rsidRPr="00E81992" w:rsidRDefault="00051C41" w:rsidP="00EA666A">
      <w:pPr>
        <w:spacing w:after="3" w:line="291" w:lineRule="auto"/>
        <w:ind w:left="-5" w:hanging="10"/>
        <w:jc w:val="left"/>
        <w:rPr>
          <w:rFonts w:ascii="Arial" w:eastAsia="Arial" w:hAnsi="Arial" w:cs="Arial"/>
          <w:color w:val="000000" w:themeColor="text1"/>
          <w:lang w:eastAsia="en-GB"/>
        </w:rPr>
      </w:pPr>
      <w:r w:rsidRPr="00E81992">
        <w:rPr>
          <w:rFonts w:ascii="Arial" w:eastAsia="Arial" w:hAnsi="Arial" w:cs="Arial"/>
          <w:color w:val="000000" w:themeColor="text1"/>
          <w:lang w:eastAsia="en-GB"/>
        </w:rPr>
        <w:t>As services are provided the costs of those services will be accounted for</w:t>
      </w:r>
      <w:r w:rsidR="00FA56BD">
        <w:rPr>
          <w:rFonts w:ascii="Arial" w:eastAsia="Arial" w:hAnsi="Arial" w:cs="Arial"/>
          <w:color w:val="000000" w:themeColor="text1"/>
          <w:lang w:eastAsia="en-GB"/>
        </w:rPr>
        <w:t xml:space="preserve"> in line with recognised accounting practice</w:t>
      </w:r>
      <w:r w:rsidRPr="00E81992">
        <w:rPr>
          <w:rFonts w:ascii="Arial" w:eastAsia="Arial" w:hAnsi="Arial" w:cs="Arial"/>
          <w:color w:val="000000" w:themeColor="text1"/>
          <w:lang w:eastAsia="en-GB"/>
        </w:rPr>
        <w:t>. WCHG may provide the services using a variety of methods such as their repairs and maintenance team, other staff employed directly by WCHG, using external contractors, contracting with utilities providers, insurance companies etc.</w:t>
      </w:r>
    </w:p>
    <w:p w14:paraId="6228190D" w14:textId="77777777" w:rsidR="00051C41" w:rsidRPr="00E81992" w:rsidRDefault="00051C41" w:rsidP="00EA666A">
      <w:pPr>
        <w:spacing w:after="3" w:line="291" w:lineRule="auto"/>
        <w:ind w:left="-5" w:hanging="10"/>
        <w:jc w:val="left"/>
        <w:rPr>
          <w:rFonts w:ascii="Arial" w:eastAsia="Arial" w:hAnsi="Arial" w:cs="Arial"/>
          <w:color w:val="000000" w:themeColor="text1"/>
          <w:lang w:eastAsia="en-GB"/>
        </w:rPr>
      </w:pPr>
    </w:p>
    <w:p w14:paraId="3755E1CA" w14:textId="77777777" w:rsidR="00051C41" w:rsidRPr="00E81992" w:rsidRDefault="00051C41" w:rsidP="00EA666A">
      <w:pPr>
        <w:spacing w:after="3" w:line="291" w:lineRule="auto"/>
        <w:ind w:left="-5" w:hanging="10"/>
        <w:jc w:val="left"/>
        <w:rPr>
          <w:rFonts w:ascii="Arial" w:eastAsia="Arial" w:hAnsi="Arial" w:cs="Arial"/>
          <w:color w:val="000000" w:themeColor="text1"/>
          <w:lang w:eastAsia="en-GB"/>
        </w:rPr>
      </w:pPr>
      <w:r w:rsidRPr="00E81992">
        <w:rPr>
          <w:rFonts w:ascii="Arial" w:eastAsia="Arial" w:hAnsi="Arial" w:cs="Arial"/>
          <w:color w:val="000000" w:themeColor="text1"/>
          <w:lang w:eastAsia="en-GB"/>
        </w:rPr>
        <w:t xml:space="preserve">Where WCHG </w:t>
      </w:r>
      <w:r w:rsidR="00FA56BD">
        <w:rPr>
          <w:rFonts w:ascii="Arial" w:eastAsia="Arial" w:hAnsi="Arial" w:cs="Arial"/>
          <w:color w:val="000000" w:themeColor="text1"/>
          <w:lang w:eastAsia="en-GB"/>
        </w:rPr>
        <w:t xml:space="preserve">directly </w:t>
      </w:r>
      <w:r w:rsidRPr="00E81992">
        <w:rPr>
          <w:rFonts w:ascii="Arial" w:eastAsia="Arial" w:hAnsi="Arial" w:cs="Arial"/>
          <w:color w:val="000000" w:themeColor="text1"/>
          <w:lang w:eastAsia="en-GB"/>
        </w:rPr>
        <w:t xml:space="preserve">employs </w:t>
      </w:r>
      <w:proofErr w:type="gramStart"/>
      <w:r w:rsidRPr="00E81992">
        <w:rPr>
          <w:rFonts w:ascii="Arial" w:eastAsia="Arial" w:hAnsi="Arial" w:cs="Arial"/>
          <w:color w:val="000000" w:themeColor="text1"/>
          <w:lang w:eastAsia="en-GB"/>
        </w:rPr>
        <w:t>staff</w:t>
      </w:r>
      <w:proofErr w:type="gramEnd"/>
      <w:r w:rsidRPr="00E81992">
        <w:rPr>
          <w:rFonts w:ascii="Arial" w:eastAsia="Arial" w:hAnsi="Arial" w:cs="Arial"/>
          <w:color w:val="000000" w:themeColor="text1"/>
          <w:lang w:eastAsia="en-GB"/>
        </w:rPr>
        <w:t xml:space="preserve"> these costs will be </w:t>
      </w:r>
      <w:r w:rsidR="00E81992" w:rsidRPr="00E81992">
        <w:rPr>
          <w:rFonts w:ascii="Arial" w:eastAsia="Arial" w:hAnsi="Arial" w:cs="Arial"/>
          <w:color w:val="000000" w:themeColor="text1"/>
          <w:lang w:eastAsia="en-GB"/>
        </w:rPr>
        <w:t>allocated to the service provided based on an appropriate method such as an hourly charge rate which reflects the</w:t>
      </w:r>
      <w:r w:rsidR="00FA56BD">
        <w:rPr>
          <w:rFonts w:ascii="Arial" w:eastAsia="Arial" w:hAnsi="Arial" w:cs="Arial"/>
          <w:color w:val="000000" w:themeColor="text1"/>
          <w:lang w:eastAsia="en-GB"/>
        </w:rPr>
        <w:t xml:space="preserve"> full</w:t>
      </w:r>
      <w:r w:rsidR="00E81992" w:rsidRPr="00E81992">
        <w:rPr>
          <w:rFonts w:ascii="Arial" w:eastAsia="Arial" w:hAnsi="Arial" w:cs="Arial"/>
          <w:color w:val="000000" w:themeColor="text1"/>
          <w:lang w:eastAsia="en-GB"/>
        </w:rPr>
        <w:t xml:space="preserve"> cost to WCHG of employing the staff.</w:t>
      </w:r>
    </w:p>
    <w:p w14:paraId="74C3C298" w14:textId="77777777" w:rsidR="00E81992" w:rsidRPr="00E81992" w:rsidRDefault="00E81992" w:rsidP="00EA666A">
      <w:pPr>
        <w:spacing w:after="3" w:line="291" w:lineRule="auto"/>
        <w:ind w:left="-5" w:hanging="10"/>
        <w:jc w:val="left"/>
        <w:rPr>
          <w:rFonts w:ascii="Arial" w:eastAsia="Arial" w:hAnsi="Arial" w:cs="Arial"/>
          <w:color w:val="000000" w:themeColor="text1"/>
          <w:lang w:eastAsia="en-GB"/>
        </w:rPr>
      </w:pPr>
    </w:p>
    <w:p w14:paraId="150D349C" w14:textId="77777777" w:rsidR="00E81992" w:rsidRPr="00E81992" w:rsidRDefault="00E81992" w:rsidP="00EA666A">
      <w:pPr>
        <w:spacing w:after="3" w:line="291" w:lineRule="auto"/>
        <w:ind w:left="-5" w:hanging="10"/>
        <w:jc w:val="left"/>
        <w:rPr>
          <w:rFonts w:ascii="Arial" w:eastAsia="Arial" w:hAnsi="Arial" w:cs="Arial"/>
          <w:color w:val="000000" w:themeColor="text1"/>
          <w:lang w:eastAsia="en-GB"/>
        </w:rPr>
      </w:pPr>
      <w:r w:rsidRPr="00E81992">
        <w:rPr>
          <w:rFonts w:ascii="Arial" w:eastAsia="Arial" w:hAnsi="Arial" w:cs="Arial"/>
          <w:color w:val="000000" w:themeColor="text1"/>
          <w:lang w:eastAsia="en-GB"/>
        </w:rPr>
        <w:t>Where an external provider is used the costs will be allocated in line with the invoice received from the supplier.</w:t>
      </w:r>
    </w:p>
    <w:p w14:paraId="36A81406" w14:textId="77777777" w:rsidR="00E81992" w:rsidRPr="00E81992" w:rsidRDefault="00E81992" w:rsidP="00EA666A">
      <w:pPr>
        <w:spacing w:after="3" w:line="291" w:lineRule="auto"/>
        <w:ind w:left="-5" w:hanging="10"/>
        <w:jc w:val="left"/>
        <w:rPr>
          <w:rFonts w:ascii="Arial" w:eastAsia="Arial" w:hAnsi="Arial" w:cs="Arial"/>
          <w:color w:val="000000" w:themeColor="text1"/>
          <w:lang w:eastAsia="en-GB"/>
        </w:rPr>
      </w:pPr>
    </w:p>
    <w:p w14:paraId="6914EB5D" w14:textId="77777777" w:rsidR="00E81992" w:rsidRPr="00E81992" w:rsidRDefault="00E81992" w:rsidP="00EA666A">
      <w:pPr>
        <w:spacing w:after="3" w:line="291" w:lineRule="auto"/>
        <w:ind w:left="-5" w:hanging="10"/>
        <w:jc w:val="left"/>
        <w:rPr>
          <w:rFonts w:ascii="Arial" w:eastAsia="Arial" w:hAnsi="Arial" w:cs="Arial"/>
          <w:color w:val="000000" w:themeColor="text1"/>
          <w:lang w:eastAsia="en-GB"/>
        </w:rPr>
      </w:pPr>
      <w:r w:rsidRPr="00E81992">
        <w:rPr>
          <w:rFonts w:ascii="Arial" w:eastAsia="Arial" w:hAnsi="Arial" w:cs="Arial"/>
          <w:color w:val="000000" w:themeColor="text1"/>
          <w:lang w:eastAsia="en-GB"/>
        </w:rPr>
        <w:t>WCHG cannot reclaim the VAT charged on the invoice so the full cost including VAT will be the basis of the allocated charge.</w:t>
      </w:r>
    </w:p>
    <w:p w14:paraId="62965009" w14:textId="77777777" w:rsidR="00E81992" w:rsidRPr="00E81992" w:rsidRDefault="00E81992" w:rsidP="00EA666A">
      <w:pPr>
        <w:spacing w:after="3" w:line="291" w:lineRule="auto"/>
        <w:ind w:left="-5" w:hanging="10"/>
        <w:jc w:val="left"/>
        <w:rPr>
          <w:rFonts w:ascii="Arial" w:eastAsia="Arial" w:hAnsi="Arial" w:cs="Arial"/>
          <w:color w:val="000000" w:themeColor="text1"/>
          <w:lang w:eastAsia="en-GB"/>
        </w:rPr>
      </w:pPr>
    </w:p>
    <w:p w14:paraId="3B894FC6" w14:textId="08678A87" w:rsidR="00E81992" w:rsidRPr="00E81992" w:rsidRDefault="00E81992" w:rsidP="00EA666A">
      <w:pPr>
        <w:spacing w:after="3" w:line="291" w:lineRule="auto"/>
        <w:ind w:left="-5" w:hanging="10"/>
        <w:jc w:val="left"/>
        <w:rPr>
          <w:rFonts w:ascii="Arial" w:eastAsia="Arial" w:hAnsi="Arial" w:cs="Arial"/>
          <w:color w:val="000000" w:themeColor="text1"/>
          <w:lang w:eastAsia="en-GB"/>
        </w:rPr>
      </w:pPr>
      <w:r w:rsidRPr="00E81992">
        <w:rPr>
          <w:rFonts w:ascii="Arial" w:eastAsia="Arial" w:hAnsi="Arial" w:cs="Arial"/>
          <w:color w:val="000000" w:themeColor="text1"/>
          <w:lang w:eastAsia="en-GB"/>
        </w:rPr>
        <w:t>WCHG will manage the processing of all invoices received and ensure suppliers are paid.  WCHG will also arrange appropriate contracts with suppliers to achieve value for money on all supplies</w:t>
      </w:r>
      <w:r w:rsidR="00D1425D">
        <w:rPr>
          <w:rFonts w:ascii="Arial" w:eastAsia="Arial" w:hAnsi="Arial" w:cs="Arial"/>
          <w:color w:val="000000" w:themeColor="text1"/>
          <w:lang w:eastAsia="en-GB"/>
        </w:rPr>
        <w:t xml:space="preserve"> and quality of services delivered</w:t>
      </w:r>
      <w:r w:rsidRPr="00E81992">
        <w:rPr>
          <w:rFonts w:ascii="Arial" w:eastAsia="Arial" w:hAnsi="Arial" w:cs="Arial"/>
          <w:color w:val="000000" w:themeColor="text1"/>
          <w:lang w:eastAsia="en-GB"/>
        </w:rPr>
        <w:t>.</w:t>
      </w:r>
    </w:p>
    <w:p w14:paraId="1DC624FD" w14:textId="77777777" w:rsidR="00051C41" w:rsidRDefault="00051C41" w:rsidP="00EA666A">
      <w:pPr>
        <w:spacing w:after="3" w:line="291" w:lineRule="auto"/>
        <w:ind w:left="-5" w:hanging="10"/>
        <w:jc w:val="left"/>
        <w:rPr>
          <w:rFonts w:ascii="Arial" w:eastAsia="Arial" w:hAnsi="Arial" w:cs="Arial"/>
          <w:color w:val="000000" w:themeColor="text1"/>
          <w:lang w:eastAsia="en-GB"/>
        </w:rPr>
      </w:pPr>
    </w:p>
    <w:p w14:paraId="5585D161" w14:textId="77777777" w:rsidR="00E81992" w:rsidRDefault="00E81992" w:rsidP="00EA666A">
      <w:pPr>
        <w:spacing w:after="3" w:line="291" w:lineRule="auto"/>
        <w:ind w:left="-5" w:hanging="10"/>
        <w:jc w:val="left"/>
        <w:rPr>
          <w:rFonts w:ascii="Arial" w:eastAsia="Arial" w:hAnsi="Arial" w:cs="Arial"/>
          <w:color w:val="000000" w:themeColor="text1"/>
          <w:lang w:eastAsia="en-GB"/>
        </w:rPr>
      </w:pPr>
      <w:r>
        <w:rPr>
          <w:rFonts w:ascii="Arial" w:eastAsia="Arial" w:hAnsi="Arial" w:cs="Arial"/>
          <w:color w:val="000000" w:themeColor="text1"/>
          <w:lang w:eastAsia="en-GB"/>
        </w:rPr>
        <w:t>WCHG will account for all the costs</w:t>
      </w:r>
      <w:r w:rsidR="00F27C94">
        <w:rPr>
          <w:rFonts w:ascii="Arial" w:eastAsia="Arial" w:hAnsi="Arial" w:cs="Arial"/>
          <w:color w:val="000000" w:themeColor="text1"/>
          <w:lang w:eastAsia="en-GB"/>
        </w:rPr>
        <w:t xml:space="preserve"> via the accounting system and pass information to the Service Charge Team </w:t>
      </w:r>
      <w:r w:rsidR="00FE11B1">
        <w:rPr>
          <w:rFonts w:ascii="Arial" w:eastAsia="Arial" w:hAnsi="Arial" w:cs="Arial"/>
          <w:color w:val="000000" w:themeColor="text1"/>
          <w:lang w:eastAsia="en-GB"/>
        </w:rPr>
        <w:t>who will allocate the relevant costs to the relevant property throughout the year.</w:t>
      </w:r>
    </w:p>
    <w:p w14:paraId="09BE5D6B" w14:textId="77777777" w:rsidR="00FE11B1" w:rsidRDefault="00FE11B1" w:rsidP="00EA666A">
      <w:pPr>
        <w:spacing w:after="3" w:line="291" w:lineRule="auto"/>
        <w:ind w:left="-5" w:hanging="10"/>
        <w:jc w:val="left"/>
        <w:rPr>
          <w:rFonts w:ascii="Arial" w:eastAsia="Arial" w:hAnsi="Arial" w:cs="Arial"/>
          <w:color w:val="000000" w:themeColor="text1"/>
          <w:lang w:eastAsia="en-GB"/>
        </w:rPr>
      </w:pPr>
    </w:p>
    <w:p w14:paraId="671289EA" w14:textId="77777777" w:rsidR="00FE11B1" w:rsidRDefault="00FE11B1" w:rsidP="00EA666A">
      <w:pPr>
        <w:spacing w:after="3" w:line="291" w:lineRule="auto"/>
        <w:ind w:left="-5" w:hanging="10"/>
        <w:jc w:val="left"/>
        <w:rPr>
          <w:rFonts w:ascii="Arial" w:eastAsia="Arial" w:hAnsi="Arial" w:cs="Arial"/>
          <w:color w:val="000000" w:themeColor="text1"/>
          <w:lang w:eastAsia="en-GB"/>
        </w:rPr>
      </w:pPr>
      <w:r>
        <w:rPr>
          <w:rFonts w:ascii="Arial" w:eastAsia="Arial" w:hAnsi="Arial" w:cs="Arial"/>
          <w:color w:val="000000" w:themeColor="text1"/>
          <w:lang w:eastAsia="en-GB"/>
        </w:rPr>
        <w:t>Full details of the costs for each property will be kept on file to provide a full audit trail facilitating a detailed examination of costs and subsequent charges to ensure full transparency and accountability.  This information will be available for review in the event of any queries</w:t>
      </w:r>
      <w:r w:rsidR="00D65384">
        <w:rPr>
          <w:rFonts w:ascii="Arial" w:eastAsia="Arial" w:hAnsi="Arial" w:cs="Arial"/>
          <w:color w:val="000000" w:themeColor="text1"/>
          <w:lang w:eastAsia="en-GB"/>
        </w:rPr>
        <w:t xml:space="preserve"> or questions.  Due to the complexities </w:t>
      </w:r>
      <w:r w:rsidR="00FA56BD">
        <w:rPr>
          <w:rFonts w:ascii="Arial" w:eastAsia="Arial" w:hAnsi="Arial" w:cs="Arial"/>
          <w:color w:val="000000" w:themeColor="text1"/>
          <w:lang w:eastAsia="en-GB"/>
        </w:rPr>
        <w:t>of the data and calculation methods WCHG will support customers in any review of relevant information to ensure clarity.</w:t>
      </w:r>
    </w:p>
    <w:p w14:paraId="4D41D11D" w14:textId="77777777" w:rsidR="00FE11B1" w:rsidRDefault="00FE11B1" w:rsidP="00EA666A">
      <w:pPr>
        <w:spacing w:after="3" w:line="291" w:lineRule="auto"/>
        <w:ind w:left="-5" w:hanging="10"/>
        <w:jc w:val="left"/>
        <w:rPr>
          <w:rFonts w:ascii="Arial" w:eastAsia="Arial" w:hAnsi="Arial" w:cs="Arial"/>
          <w:color w:val="000000" w:themeColor="text1"/>
          <w:lang w:eastAsia="en-GB"/>
        </w:rPr>
      </w:pPr>
    </w:p>
    <w:p w14:paraId="71003015" w14:textId="77777777" w:rsidR="00FE11B1" w:rsidRPr="006A1BDC" w:rsidRDefault="00FE11B1" w:rsidP="00FE11B1">
      <w:pPr>
        <w:ind w:left="0"/>
        <w:rPr>
          <w:rFonts w:ascii="Arial" w:hAnsi="Arial" w:cs="Arial"/>
        </w:rPr>
      </w:pPr>
      <w:r w:rsidRPr="006A1BDC">
        <w:rPr>
          <w:rFonts w:ascii="Arial" w:hAnsi="Arial" w:cs="Arial"/>
        </w:rPr>
        <w:t xml:space="preserve">Following the end of the financial year, and no later than six months from that date WCHG will provide annual statements of </w:t>
      </w:r>
      <w:r>
        <w:rPr>
          <w:rFonts w:ascii="Arial" w:hAnsi="Arial" w:cs="Arial"/>
        </w:rPr>
        <w:t>customer</w:t>
      </w:r>
      <w:r w:rsidRPr="006A1BDC">
        <w:rPr>
          <w:rFonts w:ascii="Arial" w:hAnsi="Arial" w:cs="Arial"/>
        </w:rPr>
        <w:t xml:space="preserve"> service charge accounts</w:t>
      </w:r>
    </w:p>
    <w:p w14:paraId="2F417AB5" w14:textId="77777777" w:rsidR="00FE11B1" w:rsidRPr="006A1BDC" w:rsidRDefault="00FE11B1" w:rsidP="00FE11B1">
      <w:pPr>
        <w:ind w:left="0"/>
        <w:rPr>
          <w:rFonts w:ascii="Arial" w:hAnsi="Arial" w:cs="Arial"/>
        </w:rPr>
      </w:pPr>
      <w:r w:rsidRPr="006A1BDC">
        <w:rPr>
          <w:rFonts w:ascii="Arial" w:hAnsi="Arial" w:cs="Arial"/>
        </w:rPr>
        <w:t>The statement of accounts will include:-</w:t>
      </w:r>
    </w:p>
    <w:p w14:paraId="7E0D4CF0" w14:textId="77777777" w:rsidR="00FE11B1" w:rsidRPr="007039CA" w:rsidRDefault="00FE11B1" w:rsidP="00FE11B1">
      <w:pPr>
        <w:pStyle w:val="ListParagraph"/>
        <w:numPr>
          <w:ilvl w:val="0"/>
          <w:numId w:val="11"/>
        </w:numPr>
        <w:rPr>
          <w:rFonts w:ascii="Arial" w:hAnsi="Arial" w:cs="Arial"/>
        </w:rPr>
      </w:pPr>
      <w:r w:rsidRPr="007039CA">
        <w:rPr>
          <w:rFonts w:ascii="Arial" w:hAnsi="Arial" w:cs="Arial"/>
        </w:rPr>
        <w:t>the actual expenditure costs for the block (if applicable) and individual property</w:t>
      </w:r>
    </w:p>
    <w:p w14:paraId="5F4D9590" w14:textId="77777777" w:rsidR="00FE11B1" w:rsidRPr="007039CA" w:rsidRDefault="00FE11B1" w:rsidP="00FE11B1">
      <w:pPr>
        <w:pStyle w:val="ListParagraph"/>
        <w:numPr>
          <w:ilvl w:val="0"/>
          <w:numId w:val="11"/>
        </w:numPr>
        <w:rPr>
          <w:rFonts w:ascii="Arial" w:hAnsi="Arial" w:cs="Arial"/>
        </w:rPr>
      </w:pPr>
      <w:r w:rsidRPr="007039CA">
        <w:rPr>
          <w:rFonts w:ascii="Arial" w:hAnsi="Arial" w:cs="Arial"/>
        </w:rPr>
        <w:t>the estimated costs invoiced that year as service charge</w:t>
      </w:r>
    </w:p>
    <w:p w14:paraId="3E6F9140" w14:textId="77777777" w:rsidR="00FE11B1" w:rsidRPr="007039CA" w:rsidRDefault="00FE11B1" w:rsidP="00FE11B1">
      <w:pPr>
        <w:pStyle w:val="ListParagraph"/>
        <w:numPr>
          <w:ilvl w:val="0"/>
          <w:numId w:val="11"/>
        </w:numPr>
        <w:rPr>
          <w:rFonts w:ascii="Arial" w:hAnsi="Arial" w:cs="Arial"/>
        </w:rPr>
      </w:pPr>
      <w:r w:rsidRPr="007039CA">
        <w:rPr>
          <w:rFonts w:ascii="Arial" w:hAnsi="Arial" w:cs="Arial"/>
        </w:rPr>
        <w:t>the difference between the above amounts</w:t>
      </w:r>
    </w:p>
    <w:p w14:paraId="59241938" w14:textId="77777777" w:rsidR="00FE11B1" w:rsidRPr="007039CA" w:rsidRDefault="00FE11B1" w:rsidP="00FE11B1">
      <w:pPr>
        <w:pStyle w:val="ListParagraph"/>
        <w:numPr>
          <w:ilvl w:val="0"/>
          <w:numId w:val="11"/>
        </w:numPr>
        <w:rPr>
          <w:rFonts w:ascii="Arial" w:hAnsi="Arial" w:cs="Arial"/>
        </w:rPr>
      </w:pPr>
      <w:r w:rsidRPr="007039CA">
        <w:rPr>
          <w:rFonts w:ascii="Arial" w:hAnsi="Arial" w:cs="Arial"/>
        </w:rPr>
        <w:t>the total balance held in the sinking fund (if applicable)</w:t>
      </w:r>
    </w:p>
    <w:p w14:paraId="58E8526F" w14:textId="77777777" w:rsidR="00845B8F" w:rsidRPr="00434D7C" w:rsidRDefault="00FE11B1" w:rsidP="00845B8F">
      <w:pPr>
        <w:spacing w:after="0"/>
        <w:ind w:left="0"/>
        <w:rPr>
          <w:rFonts w:ascii="Arial" w:eastAsia="Times New Roman" w:hAnsi="Arial" w:cs="Arial"/>
          <w:lang w:eastAsia="en-GB"/>
        </w:rPr>
      </w:pPr>
      <w:r w:rsidRPr="00434D7C">
        <w:rPr>
          <w:rFonts w:ascii="Arial" w:eastAsia="Times New Roman" w:hAnsi="Arial" w:cs="Arial"/>
          <w:lang w:eastAsia="en-GB"/>
        </w:rPr>
        <w:lastRenderedPageBreak/>
        <w:t xml:space="preserve">Where the actual costs are more than were estimated, the </w:t>
      </w:r>
      <w:r>
        <w:rPr>
          <w:rFonts w:ascii="Arial" w:eastAsia="Times New Roman" w:hAnsi="Arial" w:cs="Arial"/>
          <w:lang w:eastAsia="en-GB"/>
        </w:rPr>
        <w:t>customer wil</w:t>
      </w:r>
      <w:r w:rsidRPr="00434D7C">
        <w:rPr>
          <w:rFonts w:ascii="Arial" w:eastAsia="Times New Roman" w:hAnsi="Arial" w:cs="Arial"/>
          <w:lang w:eastAsia="en-GB"/>
        </w:rPr>
        <w:t>l</w:t>
      </w:r>
      <w:r>
        <w:rPr>
          <w:rFonts w:ascii="Arial" w:eastAsia="Times New Roman" w:hAnsi="Arial" w:cs="Arial"/>
          <w:lang w:eastAsia="en-GB"/>
        </w:rPr>
        <w:t xml:space="preserve"> </w:t>
      </w:r>
      <w:r w:rsidRPr="00434D7C">
        <w:rPr>
          <w:rFonts w:ascii="Arial" w:eastAsia="Times New Roman" w:hAnsi="Arial" w:cs="Arial"/>
          <w:lang w:eastAsia="en-GB"/>
        </w:rPr>
        <w:t xml:space="preserve">be </w:t>
      </w:r>
      <w:r>
        <w:rPr>
          <w:rFonts w:ascii="Arial" w:eastAsia="Times New Roman" w:hAnsi="Arial" w:cs="Arial"/>
          <w:lang w:eastAsia="en-GB"/>
        </w:rPr>
        <w:t>required to pay the difference (a deficit)</w:t>
      </w:r>
      <w:r w:rsidRPr="00434D7C">
        <w:rPr>
          <w:rFonts w:ascii="Arial" w:eastAsia="Times New Roman" w:hAnsi="Arial" w:cs="Arial"/>
          <w:lang w:eastAsia="en-GB"/>
        </w:rPr>
        <w:t>, in line with the</w:t>
      </w:r>
      <w:r>
        <w:rPr>
          <w:rFonts w:ascii="Arial" w:eastAsia="Times New Roman" w:hAnsi="Arial" w:cs="Arial"/>
          <w:lang w:eastAsia="en-GB"/>
        </w:rPr>
        <w:t>ir agreement.  Some customers will be invoiced for the deficit, payable by a specified date, and others will pay it over the following year.</w:t>
      </w:r>
      <w:r w:rsidRPr="00434D7C">
        <w:rPr>
          <w:rFonts w:ascii="Arial" w:eastAsia="Times New Roman" w:hAnsi="Arial" w:cs="Arial"/>
          <w:lang w:eastAsia="en-GB"/>
        </w:rPr>
        <w:t xml:space="preserve"> </w:t>
      </w:r>
      <w:r w:rsidR="00845B8F">
        <w:rPr>
          <w:rFonts w:ascii="Arial" w:eastAsia="Times New Roman" w:hAnsi="Arial" w:cs="Arial"/>
          <w:lang w:eastAsia="en-GB"/>
        </w:rPr>
        <w:t xml:space="preserve">WCHG will support customers experiencing financial hardship in making payments. </w:t>
      </w:r>
    </w:p>
    <w:p w14:paraId="63AF450A" w14:textId="77777777" w:rsidR="00FE11B1" w:rsidRPr="00434D7C" w:rsidRDefault="00FE11B1" w:rsidP="00FE11B1">
      <w:pPr>
        <w:spacing w:after="0"/>
        <w:ind w:left="0"/>
        <w:rPr>
          <w:rFonts w:ascii="Arial" w:eastAsia="Times New Roman" w:hAnsi="Arial" w:cs="Arial"/>
          <w:lang w:eastAsia="en-GB"/>
        </w:rPr>
      </w:pPr>
    </w:p>
    <w:p w14:paraId="55F86CDE" w14:textId="77777777" w:rsidR="00FE11B1" w:rsidRPr="00434D7C" w:rsidRDefault="00FE11B1" w:rsidP="00FE11B1">
      <w:pPr>
        <w:spacing w:after="0"/>
        <w:ind w:left="0"/>
        <w:rPr>
          <w:rFonts w:ascii="Arial" w:eastAsia="Times New Roman" w:hAnsi="Arial" w:cs="Arial"/>
          <w:lang w:eastAsia="en-GB"/>
        </w:rPr>
      </w:pPr>
      <w:r w:rsidRPr="00434D7C">
        <w:rPr>
          <w:rFonts w:ascii="Arial" w:eastAsia="Times New Roman" w:hAnsi="Arial" w:cs="Arial"/>
          <w:lang w:eastAsia="en-GB"/>
        </w:rPr>
        <w:t xml:space="preserve">Where the actual costs for the whole year are less than were estimated, the </w:t>
      </w:r>
      <w:r>
        <w:rPr>
          <w:rFonts w:ascii="Arial" w:eastAsia="Times New Roman" w:hAnsi="Arial" w:cs="Arial"/>
          <w:lang w:eastAsia="en-GB"/>
        </w:rPr>
        <w:t>customer</w:t>
      </w:r>
      <w:r w:rsidRPr="00434D7C">
        <w:rPr>
          <w:rFonts w:ascii="Arial" w:eastAsia="Times New Roman" w:hAnsi="Arial" w:cs="Arial"/>
          <w:lang w:eastAsia="en-GB"/>
        </w:rPr>
        <w:t xml:space="preserve"> will be credited the difference, by way of a credit to their payment account.  </w:t>
      </w:r>
    </w:p>
    <w:p w14:paraId="3675717E" w14:textId="77777777" w:rsidR="00FE11B1" w:rsidRDefault="00FE11B1" w:rsidP="00FE11B1">
      <w:pPr>
        <w:spacing w:after="0"/>
        <w:ind w:left="0"/>
        <w:contextualSpacing/>
        <w:rPr>
          <w:rFonts w:ascii="Arial" w:eastAsia="Times New Roman" w:hAnsi="Arial" w:cs="Arial"/>
          <w:lang w:eastAsia="en-GB"/>
        </w:rPr>
      </w:pPr>
    </w:p>
    <w:p w14:paraId="528FB761" w14:textId="77777777" w:rsidR="00FE11B1" w:rsidRPr="00434D7C" w:rsidRDefault="00FE11B1" w:rsidP="00FE11B1">
      <w:pPr>
        <w:spacing w:after="0"/>
        <w:ind w:left="0"/>
        <w:rPr>
          <w:rFonts w:ascii="Arial" w:eastAsia="Times New Roman" w:hAnsi="Arial" w:cs="Arial"/>
          <w:lang w:eastAsia="en-GB"/>
        </w:rPr>
      </w:pPr>
      <w:r w:rsidRPr="00434D7C">
        <w:rPr>
          <w:rFonts w:ascii="Arial" w:eastAsia="Times New Roman" w:hAnsi="Arial" w:cs="Arial"/>
          <w:lang w:eastAsia="en-GB"/>
        </w:rPr>
        <w:t xml:space="preserve">WCHG will serve a section 20B notice if the final accounts will not be available within six months of the end of the financial year.  </w:t>
      </w:r>
    </w:p>
    <w:p w14:paraId="6E7ADE73" w14:textId="77777777" w:rsidR="00FE11B1" w:rsidRDefault="00FE11B1" w:rsidP="00EA666A">
      <w:pPr>
        <w:spacing w:after="3" w:line="291" w:lineRule="auto"/>
        <w:ind w:left="-5" w:hanging="10"/>
        <w:jc w:val="left"/>
        <w:rPr>
          <w:rFonts w:ascii="Arial" w:eastAsia="Arial" w:hAnsi="Arial" w:cs="Arial"/>
          <w:color w:val="000000" w:themeColor="text1"/>
          <w:lang w:eastAsia="en-GB"/>
        </w:rPr>
      </w:pPr>
    </w:p>
    <w:p w14:paraId="7AB4D64A" w14:textId="77777777" w:rsidR="00F324D2" w:rsidRPr="00F324D2" w:rsidRDefault="00F324D2" w:rsidP="00F324D2">
      <w:pPr>
        <w:spacing w:after="240" w:line="259" w:lineRule="auto"/>
        <w:ind w:left="0"/>
        <w:jc w:val="left"/>
        <w:rPr>
          <w:rFonts w:ascii="Arial" w:eastAsiaTheme="minorHAnsi" w:hAnsi="Arial" w:cs="Arial"/>
          <w:lang w:eastAsia="en-GB"/>
        </w:rPr>
      </w:pPr>
      <w:r w:rsidRPr="00F324D2">
        <w:rPr>
          <w:rFonts w:ascii="Arial" w:eastAsiaTheme="minorHAnsi" w:hAnsi="Arial" w:cs="Arial"/>
          <w:b/>
          <w:bCs/>
          <w:lang w:eastAsia="en-GB"/>
        </w:rPr>
        <w:t>5.6 Third party estate charge</w:t>
      </w:r>
      <w:r w:rsidRPr="00F324D2">
        <w:rPr>
          <w:rFonts w:ascii="Arial" w:eastAsiaTheme="minorHAnsi" w:hAnsi="Arial" w:cs="Arial"/>
          <w:lang w:eastAsia="en-GB"/>
        </w:rPr>
        <w:t xml:space="preserve"> </w:t>
      </w:r>
    </w:p>
    <w:p w14:paraId="068DC01C" w14:textId="35F5F504" w:rsidR="00F324D2" w:rsidRP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Some housing stock</w:t>
      </w:r>
      <w:r w:rsidR="00C753B1">
        <w:rPr>
          <w:rFonts w:ascii="Arial" w:eastAsiaTheme="minorHAnsi" w:hAnsi="Arial" w:cs="Arial"/>
        </w:rPr>
        <w:t xml:space="preserve"> or homes</w:t>
      </w:r>
      <w:r w:rsidRPr="00F324D2">
        <w:rPr>
          <w:rFonts w:ascii="Arial" w:eastAsiaTheme="minorHAnsi" w:hAnsi="Arial" w:cs="Arial"/>
        </w:rPr>
        <w:t xml:space="preserve"> </w:t>
      </w:r>
      <w:r w:rsidR="00C753B1">
        <w:rPr>
          <w:rFonts w:ascii="Arial" w:eastAsiaTheme="minorHAnsi" w:hAnsi="Arial" w:cs="Arial"/>
        </w:rPr>
        <w:t>are</w:t>
      </w:r>
      <w:r w:rsidRPr="00F324D2">
        <w:rPr>
          <w:rFonts w:ascii="Arial" w:eastAsiaTheme="minorHAnsi" w:hAnsi="Arial" w:cs="Arial"/>
        </w:rPr>
        <w:t xml:space="preserve"> managed by a third-party Managing Agent on </w:t>
      </w:r>
      <w:r>
        <w:rPr>
          <w:rFonts w:ascii="Arial" w:eastAsiaTheme="minorHAnsi" w:hAnsi="Arial" w:cs="Arial"/>
        </w:rPr>
        <w:t>WCHG</w:t>
      </w:r>
      <w:r w:rsidRPr="00F324D2">
        <w:rPr>
          <w:rFonts w:ascii="Arial" w:eastAsiaTheme="minorHAnsi" w:hAnsi="Arial" w:cs="Arial"/>
        </w:rPr>
        <w:t xml:space="preserve">’s behalf. The setting of the service charge is undertaken by the Managing Agent in line with the clause in the lease of transfer document.  </w:t>
      </w:r>
      <w:r>
        <w:rPr>
          <w:rFonts w:ascii="Arial" w:eastAsiaTheme="minorHAnsi" w:hAnsi="Arial" w:cs="Arial"/>
        </w:rPr>
        <w:t>WCHG</w:t>
      </w:r>
      <w:r w:rsidRPr="00F324D2">
        <w:rPr>
          <w:rFonts w:ascii="Arial" w:eastAsiaTheme="minorHAnsi" w:hAnsi="Arial" w:cs="Arial"/>
        </w:rPr>
        <w:t xml:space="preserve"> will pass on third-party charges which are chargeable to our tenants or Shared Owners however </w:t>
      </w:r>
      <w:r>
        <w:rPr>
          <w:rFonts w:ascii="Arial" w:eastAsiaTheme="minorHAnsi" w:hAnsi="Arial" w:cs="Arial"/>
        </w:rPr>
        <w:t>WCHG</w:t>
      </w:r>
      <w:r w:rsidRPr="00F324D2">
        <w:rPr>
          <w:rFonts w:ascii="Arial" w:eastAsiaTheme="minorHAnsi" w:hAnsi="Arial" w:cs="Arial"/>
        </w:rPr>
        <w:t xml:space="preserve"> is responsible and accountable as the landlord unless our responsibility is relinquished through staircasing or R</w:t>
      </w:r>
      <w:r w:rsidR="00C753B1">
        <w:rPr>
          <w:rFonts w:ascii="Arial" w:eastAsiaTheme="minorHAnsi" w:hAnsi="Arial" w:cs="Arial"/>
        </w:rPr>
        <w:t>ight to Buy or Right to Acquire(R</w:t>
      </w:r>
      <w:r w:rsidRPr="00F324D2">
        <w:rPr>
          <w:rFonts w:ascii="Arial" w:eastAsiaTheme="minorHAnsi" w:hAnsi="Arial" w:cs="Arial"/>
        </w:rPr>
        <w:t>TB/RTA</w:t>
      </w:r>
      <w:r w:rsidR="00C753B1">
        <w:rPr>
          <w:rFonts w:ascii="Arial" w:eastAsiaTheme="minorHAnsi" w:hAnsi="Arial" w:cs="Arial"/>
        </w:rPr>
        <w:t>)</w:t>
      </w:r>
      <w:r w:rsidRPr="00F324D2">
        <w:rPr>
          <w:rFonts w:ascii="Arial" w:eastAsiaTheme="minorHAnsi" w:hAnsi="Arial" w:cs="Arial"/>
        </w:rPr>
        <w:t xml:space="preserve">.  </w:t>
      </w:r>
    </w:p>
    <w:p w14:paraId="070FA2F4" w14:textId="77777777" w:rsidR="00F324D2" w:rsidRPr="00F324D2" w:rsidRDefault="00F324D2" w:rsidP="00F324D2">
      <w:pPr>
        <w:spacing w:after="0" w:line="259" w:lineRule="auto"/>
        <w:ind w:left="0"/>
        <w:jc w:val="left"/>
        <w:rPr>
          <w:rFonts w:ascii="Arial" w:eastAsiaTheme="minorHAnsi" w:hAnsi="Arial" w:cs="Arial"/>
          <w:b/>
          <w:bCs/>
        </w:rPr>
      </w:pPr>
      <w:r w:rsidRPr="00F324D2">
        <w:rPr>
          <w:rFonts w:ascii="Arial" w:eastAsiaTheme="minorHAnsi" w:hAnsi="Arial" w:cs="Arial"/>
          <w:b/>
          <w:bCs/>
        </w:rPr>
        <w:t>5.7 Freehold properties</w:t>
      </w:r>
    </w:p>
    <w:p w14:paraId="7DEB27A1" w14:textId="77777777" w:rsidR="00F324D2" w:rsidRPr="00F324D2" w:rsidRDefault="00F324D2" w:rsidP="00F324D2">
      <w:pPr>
        <w:spacing w:after="0" w:line="259" w:lineRule="auto"/>
        <w:ind w:left="0"/>
        <w:jc w:val="left"/>
        <w:rPr>
          <w:rFonts w:ascii="Arial" w:eastAsiaTheme="minorHAnsi" w:hAnsi="Arial" w:cs="Arial"/>
          <w:b/>
          <w:bCs/>
        </w:rPr>
      </w:pPr>
    </w:p>
    <w:p w14:paraId="415C4625" w14:textId="37C56C47" w:rsidR="00F324D2" w:rsidRP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 xml:space="preserve">For properties which are sold by way of freehold transfer a variable service charge would be applicable to these properties and how </w:t>
      </w:r>
      <w:r w:rsidR="002F34BB">
        <w:rPr>
          <w:rFonts w:ascii="Arial" w:eastAsiaTheme="minorHAnsi" w:hAnsi="Arial" w:cs="Arial"/>
        </w:rPr>
        <w:t>WCHG</w:t>
      </w:r>
      <w:r w:rsidRPr="00F324D2">
        <w:rPr>
          <w:rFonts w:ascii="Arial" w:eastAsiaTheme="minorHAnsi" w:hAnsi="Arial" w:cs="Arial"/>
        </w:rPr>
        <w:t xml:space="preserve"> manage</w:t>
      </w:r>
      <w:r w:rsidR="002F34BB">
        <w:rPr>
          <w:rFonts w:ascii="Arial" w:eastAsiaTheme="minorHAnsi" w:hAnsi="Arial" w:cs="Arial"/>
        </w:rPr>
        <w:t>s</w:t>
      </w:r>
      <w:r w:rsidRPr="00F324D2">
        <w:rPr>
          <w:rFonts w:ascii="Arial" w:eastAsiaTheme="minorHAnsi" w:hAnsi="Arial" w:cs="Arial"/>
        </w:rPr>
        <w:t xml:space="preserve"> this charge would be determined by the relevant clause in the transfer document.</w:t>
      </w:r>
    </w:p>
    <w:p w14:paraId="0BFBE09F" w14:textId="5372C741" w:rsidR="00F324D2" w:rsidRPr="00F324D2" w:rsidRDefault="00F324D2" w:rsidP="00F324D2">
      <w:pPr>
        <w:spacing w:after="160" w:line="259" w:lineRule="auto"/>
        <w:ind w:left="0"/>
        <w:jc w:val="left"/>
        <w:rPr>
          <w:rFonts w:ascii="Arial" w:eastAsiaTheme="minorHAnsi" w:hAnsi="Arial" w:cs="Arial"/>
          <w:b/>
          <w:bCs/>
        </w:rPr>
      </w:pPr>
      <w:r w:rsidRPr="00F324D2">
        <w:rPr>
          <w:rFonts w:ascii="Arial" w:eastAsiaTheme="minorHAnsi" w:hAnsi="Arial" w:cs="Arial"/>
          <w:b/>
          <w:bCs/>
        </w:rPr>
        <w:t xml:space="preserve">5.8 </w:t>
      </w:r>
      <w:r w:rsidR="00EF172F">
        <w:rPr>
          <w:rFonts w:ascii="Arial" w:eastAsiaTheme="minorHAnsi" w:hAnsi="Arial" w:cs="Arial"/>
          <w:b/>
          <w:bCs/>
        </w:rPr>
        <w:t>Empty (</w:t>
      </w:r>
      <w:r w:rsidRPr="00F324D2">
        <w:rPr>
          <w:rFonts w:ascii="Arial" w:eastAsiaTheme="minorHAnsi" w:hAnsi="Arial" w:cs="Arial"/>
          <w:b/>
          <w:bCs/>
        </w:rPr>
        <w:t>Void</w:t>
      </w:r>
      <w:r w:rsidR="00EF172F">
        <w:rPr>
          <w:rFonts w:ascii="Arial" w:eastAsiaTheme="minorHAnsi" w:hAnsi="Arial" w:cs="Arial"/>
          <w:b/>
          <w:bCs/>
        </w:rPr>
        <w:t>)</w:t>
      </w:r>
      <w:r w:rsidRPr="00F324D2">
        <w:rPr>
          <w:rFonts w:ascii="Arial" w:eastAsiaTheme="minorHAnsi" w:hAnsi="Arial" w:cs="Arial"/>
          <w:b/>
          <w:bCs/>
        </w:rPr>
        <w:t xml:space="preserve"> properties</w:t>
      </w:r>
      <w:r w:rsidR="0091664B">
        <w:rPr>
          <w:rFonts w:ascii="Arial" w:eastAsiaTheme="minorHAnsi" w:hAnsi="Arial" w:cs="Arial"/>
          <w:b/>
          <w:bCs/>
        </w:rPr>
        <w:t xml:space="preserve"> – Service costs</w:t>
      </w:r>
    </w:p>
    <w:p w14:paraId="58E4EBCF" w14:textId="77777777" w:rsidR="00F324D2" w:rsidRP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Tenants are not responsible for service costs attributable to unlet properties. WCHG would be responsible for these costs until the new tenancy starts.</w:t>
      </w:r>
    </w:p>
    <w:p w14:paraId="613738F1" w14:textId="4CD93A06" w:rsidR="00F324D2" w:rsidRP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Leaseholder/Freeholder – The responsibility for the service charge costs would continue to be the responsibility of the owner</w:t>
      </w:r>
      <w:r w:rsidR="0069047A">
        <w:rPr>
          <w:rFonts w:ascii="Arial" w:eastAsiaTheme="minorHAnsi" w:hAnsi="Arial" w:cs="Arial"/>
        </w:rPr>
        <w:t xml:space="preserve"> or estate</w:t>
      </w:r>
      <w:r w:rsidRPr="00F324D2">
        <w:rPr>
          <w:rFonts w:ascii="Arial" w:eastAsiaTheme="minorHAnsi" w:hAnsi="Arial" w:cs="Arial"/>
        </w:rPr>
        <w:t xml:space="preserve"> as part of their lease/transfer.</w:t>
      </w:r>
    </w:p>
    <w:p w14:paraId="1E90601A" w14:textId="71362515" w:rsid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Commercial leaseholders – The unlet/void units should revert to the responsibility of the landlord but please check the lease agreement.</w:t>
      </w:r>
    </w:p>
    <w:p w14:paraId="4539994E" w14:textId="76385028" w:rsidR="000A2C1C" w:rsidRPr="00F324D2" w:rsidRDefault="000A2C1C" w:rsidP="00F324D2">
      <w:pPr>
        <w:spacing w:after="160" w:line="259" w:lineRule="auto"/>
        <w:ind w:left="0"/>
        <w:rPr>
          <w:rFonts w:ascii="Arial" w:eastAsiaTheme="minorHAnsi" w:hAnsi="Arial" w:cs="Arial"/>
        </w:rPr>
      </w:pPr>
      <w:r>
        <w:rPr>
          <w:rFonts w:ascii="Arial" w:eastAsiaTheme="minorHAnsi" w:hAnsi="Arial" w:cs="Arial"/>
        </w:rPr>
        <w:t xml:space="preserve">Neighbourhood apartments (V135 Extra Care) – the charges are responsibility of the </w:t>
      </w:r>
      <w:r w:rsidR="00500199">
        <w:rPr>
          <w:rFonts w:ascii="Arial" w:eastAsiaTheme="minorHAnsi" w:hAnsi="Arial" w:cs="Arial"/>
        </w:rPr>
        <w:t>partner with whom the agreement is made by WCHG</w:t>
      </w:r>
      <w:r w:rsidR="00890DC8">
        <w:rPr>
          <w:rFonts w:ascii="Arial" w:eastAsiaTheme="minorHAnsi" w:hAnsi="Arial" w:cs="Arial"/>
        </w:rPr>
        <w:t>.</w:t>
      </w:r>
      <w:r w:rsidR="00500199">
        <w:rPr>
          <w:rFonts w:ascii="Arial" w:eastAsiaTheme="minorHAnsi" w:hAnsi="Arial" w:cs="Arial"/>
        </w:rPr>
        <w:t xml:space="preserve"> </w:t>
      </w:r>
      <w:r>
        <w:rPr>
          <w:rFonts w:ascii="Arial" w:eastAsiaTheme="minorHAnsi" w:hAnsi="Arial" w:cs="Arial"/>
        </w:rPr>
        <w:t xml:space="preserve"> </w:t>
      </w:r>
    </w:p>
    <w:p w14:paraId="23C3842A" w14:textId="77777777" w:rsidR="00F324D2" w:rsidRPr="00F324D2" w:rsidRDefault="00F324D2" w:rsidP="00F324D2">
      <w:pPr>
        <w:spacing w:after="160" w:line="259" w:lineRule="auto"/>
        <w:ind w:left="0"/>
        <w:rPr>
          <w:rFonts w:ascii="Arial" w:eastAsiaTheme="minorHAnsi" w:hAnsi="Arial" w:cs="Arial"/>
        </w:rPr>
      </w:pPr>
      <w:r w:rsidRPr="00F324D2">
        <w:rPr>
          <w:rFonts w:ascii="Arial" w:eastAsiaTheme="minorHAnsi" w:hAnsi="Arial" w:cs="Arial"/>
        </w:rPr>
        <w:t xml:space="preserve">New developments – Unsold units would be the responsibility of </w:t>
      </w:r>
      <w:r>
        <w:rPr>
          <w:rFonts w:ascii="Arial" w:eastAsiaTheme="minorHAnsi" w:hAnsi="Arial" w:cs="Arial"/>
        </w:rPr>
        <w:t>WCHG</w:t>
      </w:r>
      <w:r w:rsidRPr="00F324D2">
        <w:rPr>
          <w:rFonts w:ascii="Arial" w:eastAsiaTheme="minorHAnsi" w:hAnsi="Arial" w:cs="Arial"/>
        </w:rPr>
        <w:t xml:space="preserve"> or the developer.</w:t>
      </w:r>
    </w:p>
    <w:p w14:paraId="1EB1F402" w14:textId="77777777" w:rsidR="00F324D2" w:rsidRDefault="00F324D2" w:rsidP="00EA666A">
      <w:pPr>
        <w:spacing w:after="3" w:line="291" w:lineRule="auto"/>
        <w:ind w:left="-5" w:hanging="10"/>
        <w:jc w:val="left"/>
        <w:rPr>
          <w:rFonts w:ascii="Arial" w:eastAsia="Arial" w:hAnsi="Arial" w:cs="Arial"/>
          <w:color w:val="000000" w:themeColor="text1"/>
          <w:lang w:eastAsia="en-GB"/>
        </w:rPr>
      </w:pPr>
    </w:p>
    <w:p w14:paraId="2BEAC5C6" w14:textId="77777777" w:rsidR="00C60C56" w:rsidRPr="00C60C56" w:rsidRDefault="00C60C56" w:rsidP="00C60C56">
      <w:pPr>
        <w:spacing w:after="0"/>
        <w:ind w:left="0"/>
        <w:rPr>
          <w:rFonts w:ascii="Arial" w:eastAsiaTheme="minorHAnsi" w:hAnsi="Arial" w:cs="Arial"/>
          <w:b/>
          <w:bCs/>
        </w:rPr>
      </w:pPr>
      <w:r>
        <w:rPr>
          <w:rFonts w:ascii="Arial" w:eastAsiaTheme="minorHAnsi" w:hAnsi="Arial" w:cs="Arial"/>
          <w:b/>
          <w:bCs/>
        </w:rPr>
        <w:t xml:space="preserve">5.9 </w:t>
      </w:r>
      <w:r w:rsidRPr="00C60C56">
        <w:rPr>
          <w:rFonts w:ascii="Arial" w:eastAsiaTheme="minorHAnsi" w:hAnsi="Arial" w:cs="Arial"/>
          <w:b/>
          <w:bCs/>
        </w:rPr>
        <w:t>Right to Buy (RTB)/ Right to Acquire (RTA)</w:t>
      </w:r>
    </w:p>
    <w:p w14:paraId="68B1F69F" w14:textId="77777777" w:rsidR="00C60C56" w:rsidRPr="00C60C56" w:rsidRDefault="00C60C56" w:rsidP="00C60C56">
      <w:pPr>
        <w:spacing w:after="0"/>
        <w:ind w:left="0"/>
        <w:rPr>
          <w:rFonts w:ascii="Arial" w:eastAsiaTheme="minorHAnsi" w:hAnsi="Arial" w:cs="Arial"/>
          <w:b/>
          <w:bCs/>
        </w:rPr>
      </w:pPr>
    </w:p>
    <w:p w14:paraId="0E736B75" w14:textId="24AD0AC4" w:rsidR="00C60C56" w:rsidRPr="00C60C56" w:rsidRDefault="00C60C56" w:rsidP="00C60C56">
      <w:pPr>
        <w:spacing w:after="0"/>
        <w:ind w:left="0"/>
        <w:rPr>
          <w:rFonts w:ascii="Arial" w:eastAsiaTheme="minorHAnsi" w:hAnsi="Arial" w:cs="Arial"/>
          <w:color w:val="000000" w:themeColor="text1"/>
        </w:rPr>
      </w:pPr>
      <w:r w:rsidRPr="00C60C56">
        <w:rPr>
          <w:rFonts w:ascii="Arial" w:eastAsiaTheme="minorHAnsi" w:hAnsi="Arial" w:cs="Arial"/>
        </w:rPr>
        <w:t xml:space="preserve">Tenants </w:t>
      </w:r>
      <w:r w:rsidRPr="00C60C56">
        <w:rPr>
          <w:rFonts w:ascii="Arial" w:eastAsiaTheme="minorHAnsi" w:hAnsi="Arial" w:cs="Arial"/>
          <w:color w:val="000000" w:themeColor="text1"/>
        </w:rPr>
        <w:t xml:space="preserve">are eligible to buy their homes if they have met specific criteria set in </w:t>
      </w:r>
      <w:r w:rsidRPr="00C324B5">
        <w:rPr>
          <w:rFonts w:ascii="Arial" w:eastAsiaTheme="minorHAnsi" w:hAnsi="Arial" w:cs="Arial"/>
          <w:color w:val="000000" w:themeColor="text1"/>
        </w:rPr>
        <w:t>the Right to Buy Policy.</w:t>
      </w:r>
      <w:r w:rsidR="009364CE" w:rsidRPr="00C324B5">
        <w:rPr>
          <w:rFonts w:ascii="Arial" w:eastAsiaTheme="minorHAnsi" w:hAnsi="Arial" w:cs="Arial"/>
          <w:color w:val="000000" w:themeColor="text1"/>
        </w:rPr>
        <w:t xml:space="preserve"> </w:t>
      </w:r>
    </w:p>
    <w:p w14:paraId="7CEE2E75" w14:textId="77777777" w:rsidR="00C60C56" w:rsidRPr="00C60C56" w:rsidRDefault="00C60C56" w:rsidP="00C60C56">
      <w:pPr>
        <w:spacing w:after="0"/>
        <w:ind w:left="0"/>
        <w:rPr>
          <w:rFonts w:ascii="Arial" w:eastAsiaTheme="minorHAnsi" w:hAnsi="Arial" w:cs="Arial"/>
          <w:color w:val="000000" w:themeColor="text1"/>
        </w:rPr>
      </w:pPr>
      <w:r w:rsidRPr="00C60C56">
        <w:rPr>
          <w:rFonts w:ascii="Arial" w:eastAsiaTheme="minorHAnsi" w:hAnsi="Arial" w:cs="Arial"/>
          <w:color w:val="000000" w:themeColor="text1"/>
        </w:rPr>
        <w:t>Section 125a of the Housing Act 1985 act sets out information which must be included in the offer notice which landlords must send to applicants for RTB/RTA Schemes as part of the sales process.    Residents must be given an estimate of the annual cost of services and repairs and an estimate of major works or repairs over the 5-year period. The estimates included in the S125 notice are set for a reference period which is currently 5 years.</w:t>
      </w:r>
    </w:p>
    <w:p w14:paraId="58793F3B" w14:textId="77777777" w:rsidR="00C60C56" w:rsidRPr="00C60C56" w:rsidRDefault="00C60C56" w:rsidP="00C60C56">
      <w:pPr>
        <w:spacing w:after="0"/>
        <w:ind w:left="0"/>
        <w:rPr>
          <w:rFonts w:ascii="Arial" w:eastAsiaTheme="minorHAnsi" w:hAnsi="Arial" w:cs="Arial"/>
          <w:color w:val="000000" w:themeColor="text1"/>
        </w:rPr>
      </w:pPr>
    </w:p>
    <w:p w14:paraId="3E7B96AC" w14:textId="77777777" w:rsidR="00C60C56" w:rsidRPr="00C60C56" w:rsidRDefault="00C60C56" w:rsidP="00C60C56">
      <w:pPr>
        <w:spacing w:after="0"/>
        <w:ind w:left="0"/>
        <w:rPr>
          <w:rFonts w:eastAsiaTheme="minorHAnsi" w:cstheme="minorBidi"/>
          <w:color w:val="000000" w:themeColor="text1"/>
        </w:rPr>
      </w:pPr>
      <w:r w:rsidRPr="00C60C56">
        <w:rPr>
          <w:rFonts w:ascii="Arial" w:eastAsiaTheme="minorHAnsi" w:hAnsi="Arial" w:cs="Arial"/>
          <w:color w:val="000000" w:themeColor="text1"/>
        </w:rPr>
        <w:t>There are two types of restrictions on what Landlords can charge in the reference period:</w:t>
      </w:r>
      <w:r w:rsidRPr="00C60C56">
        <w:rPr>
          <w:rFonts w:eastAsiaTheme="minorHAnsi" w:cstheme="minorBidi"/>
          <w:color w:val="000000" w:themeColor="text1"/>
        </w:rPr>
        <w:t xml:space="preserve"> </w:t>
      </w:r>
    </w:p>
    <w:p w14:paraId="26500EF7" w14:textId="77777777" w:rsidR="00C60C56" w:rsidRPr="00C60C56" w:rsidRDefault="00C60C56" w:rsidP="00C60C56">
      <w:pPr>
        <w:numPr>
          <w:ilvl w:val="0"/>
          <w:numId w:val="35"/>
        </w:numPr>
        <w:spacing w:after="0" w:line="259" w:lineRule="auto"/>
        <w:contextualSpacing/>
        <w:jc w:val="left"/>
        <w:rPr>
          <w:rFonts w:ascii="Arial" w:eastAsiaTheme="minorHAnsi" w:hAnsi="Arial" w:cs="Arial"/>
          <w:color w:val="000000" w:themeColor="text1"/>
        </w:rPr>
      </w:pPr>
      <w:r>
        <w:rPr>
          <w:rFonts w:ascii="Arial" w:eastAsiaTheme="minorHAnsi" w:hAnsi="Arial" w:cs="Arial"/>
          <w:color w:val="000000" w:themeColor="text1"/>
        </w:rPr>
        <w:t>WCHG</w:t>
      </w:r>
      <w:r w:rsidRPr="00C60C56">
        <w:rPr>
          <w:rFonts w:ascii="Arial" w:eastAsiaTheme="minorHAnsi" w:hAnsi="Arial" w:cs="Arial"/>
          <w:color w:val="000000" w:themeColor="text1"/>
        </w:rPr>
        <w:t xml:space="preserve"> can only charge for things which are mentioned in the Offer Notice.</w:t>
      </w:r>
    </w:p>
    <w:p w14:paraId="685AE255" w14:textId="77777777" w:rsidR="00C60C56" w:rsidRPr="00C60C56" w:rsidRDefault="00C60C56" w:rsidP="00C60C56">
      <w:pPr>
        <w:numPr>
          <w:ilvl w:val="0"/>
          <w:numId w:val="35"/>
        </w:numPr>
        <w:spacing w:after="0" w:line="259" w:lineRule="auto"/>
        <w:contextualSpacing/>
        <w:jc w:val="left"/>
        <w:rPr>
          <w:rFonts w:ascii="Arial" w:eastAsiaTheme="minorHAnsi" w:hAnsi="Arial" w:cs="Arial"/>
          <w:color w:val="000000" w:themeColor="text1"/>
        </w:rPr>
      </w:pPr>
      <w:r w:rsidRPr="00C60C56">
        <w:rPr>
          <w:rFonts w:ascii="Arial" w:eastAsiaTheme="minorHAnsi" w:hAnsi="Arial" w:cs="Arial"/>
          <w:color w:val="000000" w:themeColor="text1"/>
        </w:rPr>
        <w:lastRenderedPageBreak/>
        <w:t xml:space="preserve">The amounts which </w:t>
      </w:r>
      <w:r>
        <w:rPr>
          <w:rFonts w:ascii="Arial" w:eastAsiaTheme="minorHAnsi" w:hAnsi="Arial" w:cs="Arial"/>
          <w:color w:val="000000" w:themeColor="text1"/>
        </w:rPr>
        <w:t>WCHG</w:t>
      </w:r>
      <w:r w:rsidRPr="00C60C56">
        <w:rPr>
          <w:rFonts w:ascii="Arial" w:eastAsiaTheme="minorHAnsi" w:hAnsi="Arial" w:cs="Arial"/>
          <w:color w:val="000000" w:themeColor="text1"/>
        </w:rPr>
        <w:t xml:space="preserve"> can charge is restricted to the amounts stated in the Offer Notice plus an additional amount which the law allows a landlord to add to the initial estimate to </w:t>
      </w:r>
      <w:proofErr w:type="gramStart"/>
      <w:r w:rsidRPr="00C60C56">
        <w:rPr>
          <w:rFonts w:ascii="Arial" w:eastAsiaTheme="minorHAnsi" w:hAnsi="Arial" w:cs="Arial"/>
          <w:color w:val="000000" w:themeColor="text1"/>
        </w:rPr>
        <w:t>take into account</w:t>
      </w:r>
      <w:proofErr w:type="gramEnd"/>
      <w:r w:rsidRPr="00C60C56">
        <w:rPr>
          <w:rFonts w:ascii="Arial" w:eastAsiaTheme="minorHAnsi" w:hAnsi="Arial" w:cs="Arial"/>
          <w:color w:val="000000" w:themeColor="text1"/>
        </w:rPr>
        <w:t xml:space="preserve"> for inflation.</w:t>
      </w:r>
    </w:p>
    <w:p w14:paraId="01A9D776" w14:textId="77777777" w:rsidR="00C60C56" w:rsidRPr="00C60C56" w:rsidRDefault="00C60C56" w:rsidP="00EA666A">
      <w:pPr>
        <w:spacing w:after="3" w:line="291" w:lineRule="auto"/>
        <w:ind w:left="-5" w:hanging="10"/>
        <w:jc w:val="left"/>
        <w:rPr>
          <w:rFonts w:ascii="Arial" w:eastAsia="Arial" w:hAnsi="Arial" w:cs="Arial"/>
          <w:color w:val="000000" w:themeColor="text1"/>
          <w:lang w:eastAsia="en-GB"/>
        </w:rPr>
      </w:pPr>
    </w:p>
    <w:p w14:paraId="6BBB71A7" w14:textId="77777777" w:rsidR="006A1BDC" w:rsidRDefault="00947026" w:rsidP="006A1BDC">
      <w:pPr>
        <w:ind w:left="0"/>
        <w:rPr>
          <w:rFonts w:ascii="Arial" w:eastAsia="Times New Roman" w:hAnsi="Arial" w:cs="Arial"/>
          <w:b/>
          <w:lang w:eastAsia="en-GB"/>
        </w:rPr>
      </w:pPr>
      <w:r>
        <w:rPr>
          <w:rFonts w:ascii="Arial" w:eastAsia="Times New Roman" w:hAnsi="Arial" w:cs="Arial"/>
          <w:b/>
          <w:lang w:eastAsia="en-GB"/>
        </w:rPr>
        <w:t>5.</w:t>
      </w:r>
      <w:r w:rsidR="00F324D2">
        <w:rPr>
          <w:rFonts w:ascii="Arial" w:eastAsia="Times New Roman" w:hAnsi="Arial" w:cs="Arial"/>
          <w:b/>
          <w:lang w:eastAsia="en-GB"/>
        </w:rPr>
        <w:t>7</w:t>
      </w:r>
      <w:r>
        <w:rPr>
          <w:rFonts w:ascii="Arial" w:eastAsia="Times New Roman" w:hAnsi="Arial" w:cs="Arial"/>
          <w:b/>
          <w:lang w:eastAsia="en-GB"/>
        </w:rPr>
        <w:t xml:space="preserve"> </w:t>
      </w:r>
      <w:r w:rsidR="00434D7C" w:rsidRPr="00434D7C">
        <w:rPr>
          <w:rFonts w:ascii="Arial" w:eastAsia="Times New Roman" w:hAnsi="Arial" w:cs="Arial"/>
          <w:b/>
          <w:lang w:eastAsia="en-GB"/>
        </w:rPr>
        <w:t>Sinking Fund</w:t>
      </w:r>
    </w:p>
    <w:p w14:paraId="1103FED2" w14:textId="77777777" w:rsidR="00434D7C" w:rsidRPr="00434D7C" w:rsidRDefault="00434D7C" w:rsidP="00434D7C">
      <w:pPr>
        <w:spacing w:after="0"/>
        <w:ind w:left="0"/>
        <w:rPr>
          <w:rFonts w:ascii="Arial" w:eastAsia="Times New Roman" w:hAnsi="Arial" w:cs="Arial"/>
          <w:lang w:eastAsia="en-GB"/>
        </w:rPr>
      </w:pPr>
      <w:r w:rsidRPr="00434D7C">
        <w:rPr>
          <w:rFonts w:ascii="Arial" w:eastAsia="Times New Roman" w:hAnsi="Arial" w:cs="Arial"/>
          <w:lang w:eastAsia="en-GB"/>
        </w:rPr>
        <w:t>Sinking Funds are funds formed by periodically setting aside monies to pay towards future major works</w:t>
      </w:r>
      <w:r>
        <w:rPr>
          <w:rFonts w:ascii="Arial" w:eastAsia="Times New Roman" w:hAnsi="Arial" w:cs="Arial"/>
          <w:lang w:eastAsia="en-GB"/>
        </w:rPr>
        <w:t xml:space="preserve"> such as replacement of roofs, doors and windows, </w:t>
      </w:r>
      <w:r w:rsidR="000575D9">
        <w:rPr>
          <w:rFonts w:ascii="Arial" w:eastAsia="Times New Roman" w:hAnsi="Arial" w:cs="Arial"/>
          <w:lang w:eastAsia="en-GB"/>
        </w:rPr>
        <w:t>external decoration etc</w:t>
      </w:r>
    </w:p>
    <w:p w14:paraId="61537390" w14:textId="77777777" w:rsidR="00434D7C" w:rsidRPr="00434D7C" w:rsidRDefault="00434D7C" w:rsidP="00434D7C">
      <w:pPr>
        <w:spacing w:after="0"/>
        <w:ind w:left="0"/>
        <w:rPr>
          <w:rFonts w:ascii="Arial" w:eastAsia="Times New Roman" w:hAnsi="Arial" w:cs="Arial"/>
          <w:lang w:eastAsia="en-GB"/>
        </w:rPr>
      </w:pPr>
    </w:p>
    <w:p w14:paraId="59853AC5" w14:textId="754E350F" w:rsidR="00434D7C" w:rsidRPr="00434D7C" w:rsidRDefault="00434D7C" w:rsidP="00434D7C">
      <w:pPr>
        <w:spacing w:after="0"/>
        <w:ind w:left="0"/>
        <w:rPr>
          <w:rFonts w:ascii="Arial" w:eastAsia="Times New Roman" w:hAnsi="Arial" w:cs="Arial"/>
          <w:lang w:eastAsia="en-GB"/>
        </w:rPr>
      </w:pPr>
      <w:r w:rsidRPr="00434D7C">
        <w:rPr>
          <w:rFonts w:ascii="Arial" w:eastAsia="Times New Roman" w:hAnsi="Arial" w:cs="Arial"/>
          <w:lang w:eastAsia="en-GB"/>
        </w:rPr>
        <w:t xml:space="preserve">Sinking Funds </w:t>
      </w:r>
      <w:r w:rsidR="000575D9">
        <w:rPr>
          <w:rFonts w:ascii="Arial" w:eastAsia="Times New Roman" w:hAnsi="Arial" w:cs="Arial"/>
          <w:lang w:eastAsia="en-GB"/>
        </w:rPr>
        <w:t xml:space="preserve">are only applicable to </w:t>
      </w:r>
      <w:r w:rsidR="001D3D6D">
        <w:rPr>
          <w:rFonts w:ascii="Arial" w:eastAsia="Times New Roman" w:hAnsi="Arial" w:cs="Arial"/>
          <w:lang w:eastAsia="en-GB"/>
        </w:rPr>
        <w:t xml:space="preserve">shared owner’s and </w:t>
      </w:r>
      <w:r w:rsidR="000575D9">
        <w:rPr>
          <w:rFonts w:ascii="Arial" w:eastAsia="Times New Roman" w:hAnsi="Arial" w:cs="Arial"/>
          <w:lang w:eastAsia="en-GB"/>
        </w:rPr>
        <w:t>leaseholder</w:t>
      </w:r>
      <w:r w:rsidR="007039CA">
        <w:rPr>
          <w:rFonts w:ascii="Arial" w:eastAsia="Times New Roman" w:hAnsi="Arial" w:cs="Arial"/>
          <w:lang w:eastAsia="en-GB"/>
        </w:rPr>
        <w:t>’</w:t>
      </w:r>
      <w:r w:rsidR="000575D9">
        <w:rPr>
          <w:rFonts w:ascii="Arial" w:eastAsia="Times New Roman" w:hAnsi="Arial" w:cs="Arial"/>
          <w:lang w:eastAsia="en-GB"/>
        </w:rPr>
        <w:t>s homes and details are specified in the lease.</w:t>
      </w:r>
    </w:p>
    <w:p w14:paraId="672C8123" w14:textId="77777777" w:rsidR="00434D7C" w:rsidRPr="00434D7C" w:rsidRDefault="00434D7C" w:rsidP="00434D7C">
      <w:pPr>
        <w:spacing w:after="0"/>
        <w:ind w:left="0"/>
        <w:rPr>
          <w:rFonts w:ascii="Arial" w:eastAsia="Times New Roman" w:hAnsi="Arial" w:cs="Arial"/>
          <w:lang w:eastAsia="en-GB"/>
        </w:rPr>
      </w:pPr>
    </w:p>
    <w:p w14:paraId="3163194C" w14:textId="1E8F211B" w:rsidR="00434D7C" w:rsidRPr="00434D7C" w:rsidRDefault="00434D7C" w:rsidP="00434D7C">
      <w:pPr>
        <w:spacing w:after="0"/>
        <w:ind w:left="0"/>
        <w:rPr>
          <w:rFonts w:ascii="Arial" w:eastAsia="Times New Roman" w:hAnsi="Arial" w:cs="Arial"/>
          <w:lang w:eastAsia="en-GB"/>
        </w:rPr>
      </w:pPr>
      <w:r w:rsidRPr="00434D7C">
        <w:rPr>
          <w:rFonts w:ascii="Arial" w:eastAsia="Times New Roman" w:hAnsi="Arial" w:cs="Arial"/>
          <w:lang w:eastAsia="en-GB"/>
        </w:rPr>
        <w:t xml:space="preserve">Sinking funds are calculated </w:t>
      </w:r>
      <w:r w:rsidR="000575D9">
        <w:rPr>
          <w:rFonts w:ascii="Arial" w:eastAsia="Times New Roman" w:hAnsi="Arial" w:cs="Arial"/>
          <w:lang w:eastAsia="en-GB"/>
        </w:rPr>
        <w:t xml:space="preserve">by </w:t>
      </w:r>
      <w:r w:rsidRPr="00434D7C">
        <w:rPr>
          <w:rFonts w:ascii="Arial" w:eastAsia="Times New Roman" w:hAnsi="Arial" w:cs="Arial"/>
          <w:lang w:eastAsia="en-GB"/>
        </w:rPr>
        <w:t>taking the values of major components and spreading the replacement cost over their lifetime</w:t>
      </w:r>
      <w:r w:rsidR="006E284F" w:rsidRPr="006E284F">
        <w:rPr>
          <w:rFonts w:ascii="Arial" w:eastAsia="Times New Roman" w:hAnsi="Arial" w:cs="Arial"/>
          <w:b/>
          <w:lang w:eastAsia="en-GB"/>
        </w:rPr>
        <w:t>).</w:t>
      </w:r>
      <w:r w:rsidRPr="00434D7C">
        <w:rPr>
          <w:rFonts w:ascii="Arial" w:eastAsia="Times New Roman" w:hAnsi="Arial" w:cs="Arial"/>
          <w:lang w:eastAsia="en-GB"/>
        </w:rPr>
        <w:t xml:space="preserve">  The same is applied for any works that are done on a cyclical basis.  Whilst the calculation method uses the values of major components, the intention is not to ring fence funds for specific elements, but to have one fund to cover any future works. </w:t>
      </w:r>
    </w:p>
    <w:p w14:paraId="41CE3C92" w14:textId="77777777" w:rsidR="001A7833" w:rsidRDefault="001A7833" w:rsidP="000575D9">
      <w:pPr>
        <w:spacing w:after="0"/>
        <w:ind w:left="0"/>
        <w:rPr>
          <w:rFonts w:ascii="Arial" w:eastAsia="Times New Roman" w:hAnsi="Arial" w:cs="Arial"/>
          <w:lang w:eastAsia="en-GB"/>
        </w:rPr>
      </w:pPr>
    </w:p>
    <w:p w14:paraId="1FF67D37" w14:textId="388F484D" w:rsidR="000575D9" w:rsidRPr="00845B8F" w:rsidRDefault="000575D9" w:rsidP="000575D9">
      <w:pPr>
        <w:spacing w:after="0"/>
        <w:ind w:left="0"/>
        <w:rPr>
          <w:rFonts w:ascii="Arial" w:eastAsia="Times New Roman" w:hAnsi="Arial" w:cs="Arial"/>
          <w:color w:val="FF0000"/>
          <w:lang w:eastAsia="en-GB"/>
        </w:rPr>
      </w:pPr>
      <w:r w:rsidRPr="000575D9">
        <w:rPr>
          <w:rFonts w:ascii="Arial" w:eastAsia="Times New Roman" w:hAnsi="Arial" w:cs="Arial"/>
          <w:lang w:eastAsia="en-GB"/>
        </w:rPr>
        <w:t>Sinking Funds are held on trust for all those leaseholders who are obliged to contribute.  Any interest earned on these Accounts is added to the Sinking Funds (less the cost of maintaining the account and any applicable tax).</w:t>
      </w:r>
      <w:r w:rsidR="00845B8F">
        <w:rPr>
          <w:rFonts w:ascii="Arial" w:eastAsia="Times New Roman" w:hAnsi="Arial" w:cs="Arial"/>
          <w:lang w:eastAsia="en-GB"/>
        </w:rPr>
        <w:t xml:space="preserve"> </w:t>
      </w:r>
    </w:p>
    <w:p w14:paraId="4E2E6818" w14:textId="77777777" w:rsidR="000575D9" w:rsidRPr="00845B8F" w:rsidRDefault="000575D9" w:rsidP="000575D9">
      <w:pPr>
        <w:spacing w:after="0"/>
        <w:ind w:left="0"/>
        <w:rPr>
          <w:rFonts w:ascii="Arial" w:eastAsia="Times New Roman" w:hAnsi="Arial" w:cs="Arial"/>
          <w:color w:val="FF0000"/>
          <w:lang w:eastAsia="en-GB"/>
        </w:rPr>
      </w:pPr>
    </w:p>
    <w:p w14:paraId="655C34A3" w14:textId="77777777" w:rsidR="000575D9" w:rsidRPr="000575D9" w:rsidRDefault="000575D9" w:rsidP="000575D9">
      <w:pPr>
        <w:spacing w:after="0"/>
        <w:ind w:left="0"/>
        <w:rPr>
          <w:rFonts w:ascii="Arial" w:eastAsia="Times New Roman" w:hAnsi="Arial" w:cs="Arial"/>
          <w:lang w:eastAsia="en-GB"/>
        </w:rPr>
      </w:pPr>
      <w:r>
        <w:rPr>
          <w:rFonts w:ascii="Arial" w:eastAsia="Times New Roman" w:hAnsi="Arial" w:cs="Arial"/>
          <w:lang w:eastAsia="en-GB"/>
        </w:rPr>
        <w:t>No management fee is charged for the administration of the sinking fund but a fee, as a percentage of the total cost, is charged for the management of any works carried out which a paid for from the sinking fund.</w:t>
      </w:r>
    </w:p>
    <w:p w14:paraId="1D5C3BD7" w14:textId="77777777" w:rsidR="000575D9" w:rsidRPr="000575D9" w:rsidRDefault="000575D9" w:rsidP="000575D9">
      <w:pPr>
        <w:spacing w:after="0"/>
        <w:ind w:left="0"/>
        <w:rPr>
          <w:rFonts w:ascii="Arial" w:eastAsia="Times New Roman" w:hAnsi="Arial" w:cs="Arial"/>
          <w:lang w:eastAsia="en-GB"/>
        </w:rPr>
      </w:pPr>
    </w:p>
    <w:p w14:paraId="76706CC9" w14:textId="77777777" w:rsidR="00845B8F" w:rsidRPr="00434D7C" w:rsidRDefault="000575D9" w:rsidP="00845B8F">
      <w:pPr>
        <w:spacing w:after="0"/>
        <w:ind w:left="0"/>
        <w:rPr>
          <w:rFonts w:ascii="Arial" w:eastAsia="Times New Roman" w:hAnsi="Arial" w:cs="Arial"/>
          <w:lang w:eastAsia="en-GB"/>
        </w:rPr>
      </w:pPr>
      <w:r w:rsidRPr="000575D9">
        <w:rPr>
          <w:rFonts w:ascii="Arial" w:eastAsia="Times New Roman" w:hAnsi="Arial" w:cs="Arial"/>
          <w:lang w:eastAsia="en-GB"/>
        </w:rPr>
        <w:t>WCHG will carry out a desktop review of Sinking Fund contributions every five years with a more in depth review every ten.</w:t>
      </w:r>
      <w:r>
        <w:rPr>
          <w:rFonts w:ascii="Arial" w:eastAsia="Times New Roman" w:hAnsi="Arial" w:cs="Arial"/>
          <w:lang w:eastAsia="en-GB"/>
        </w:rPr>
        <w:t xml:space="preserve">  This review will endeavour to match sinking fund contributions with the future cost of major works.  Where the cost of major works, including non-reclaimable VAT and managemen</w:t>
      </w:r>
      <w:r w:rsidR="001A7833">
        <w:rPr>
          <w:rFonts w:ascii="Arial" w:eastAsia="Times New Roman" w:hAnsi="Arial" w:cs="Arial"/>
          <w:lang w:eastAsia="en-GB"/>
        </w:rPr>
        <w:t>t fees, exceeds the value of the sinking fund balance the customer will be required to pay the balance due in a timely manner.</w:t>
      </w:r>
      <w:r w:rsidR="00845B8F" w:rsidRPr="00845B8F">
        <w:rPr>
          <w:rFonts w:ascii="Arial" w:eastAsia="Times New Roman" w:hAnsi="Arial" w:cs="Arial"/>
          <w:lang w:eastAsia="en-GB"/>
        </w:rPr>
        <w:t xml:space="preserve"> </w:t>
      </w:r>
      <w:r w:rsidR="00845B8F">
        <w:rPr>
          <w:rFonts w:ascii="Arial" w:eastAsia="Times New Roman" w:hAnsi="Arial" w:cs="Arial"/>
          <w:lang w:eastAsia="en-GB"/>
        </w:rPr>
        <w:t xml:space="preserve">WCHG will support customers experiencing financial hardship in making payments. </w:t>
      </w:r>
    </w:p>
    <w:p w14:paraId="520A5860" w14:textId="77777777" w:rsidR="000575D9" w:rsidRDefault="000575D9" w:rsidP="000575D9">
      <w:pPr>
        <w:ind w:left="0"/>
        <w:rPr>
          <w:rFonts w:ascii="Arial" w:eastAsia="Times New Roman" w:hAnsi="Arial" w:cs="Arial"/>
          <w:lang w:eastAsia="en-GB"/>
        </w:rPr>
      </w:pPr>
    </w:p>
    <w:p w14:paraId="71ED305E" w14:textId="77777777" w:rsidR="000575D9" w:rsidRDefault="00E83904" w:rsidP="000575D9">
      <w:pPr>
        <w:ind w:left="0"/>
        <w:rPr>
          <w:rFonts w:ascii="Arial" w:eastAsia="Times New Roman" w:hAnsi="Arial" w:cs="Arial"/>
          <w:b/>
          <w:lang w:eastAsia="en-GB"/>
        </w:rPr>
      </w:pPr>
      <w:r>
        <w:rPr>
          <w:rFonts w:ascii="Arial" w:eastAsia="Times New Roman" w:hAnsi="Arial" w:cs="Arial"/>
          <w:b/>
          <w:lang w:eastAsia="en-GB"/>
        </w:rPr>
        <w:t>5.</w:t>
      </w:r>
      <w:r w:rsidR="00F324D2">
        <w:rPr>
          <w:rFonts w:ascii="Arial" w:eastAsia="Times New Roman" w:hAnsi="Arial" w:cs="Arial"/>
          <w:b/>
          <w:lang w:eastAsia="en-GB"/>
        </w:rPr>
        <w:t>8</w:t>
      </w:r>
      <w:r>
        <w:rPr>
          <w:rFonts w:ascii="Arial" w:eastAsia="Times New Roman" w:hAnsi="Arial" w:cs="Arial"/>
          <w:b/>
          <w:lang w:eastAsia="en-GB"/>
        </w:rPr>
        <w:t xml:space="preserve"> </w:t>
      </w:r>
      <w:r w:rsidR="001A7833">
        <w:rPr>
          <w:rFonts w:ascii="Arial" w:eastAsia="Times New Roman" w:hAnsi="Arial" w:cs="Arial"/>
          <w:b/>
          <w:lang w:eastAsia="en-GB"/>
        </w:rPr>
        <w:t>Ground Rents</w:t>
      </w:r>
    </w:p>
    <w:p w14:paraId="336569A8" w14:textId="77777777" w:rsidR="001A7833" w:rsidRPr="001A7833" w:rsidRDefault="001A7833" w:rsidP="001A7833">
      <w:pPr>
        <w:spacing w:after="0"/>
        <w:ind w:left="0"/>
        <w:rPr>
          <w:rFonts w:ascii="Arial" w:eastAsia="Times New Roman" w:hAnsi="Arial" w:cs="Arial"/>
          <w:lang w:eastAsia="en-GB"/>
        </w:rPr>
      </w:pPr>
      <w:r w:rsidRPr="001A7833">
        <w:rPr>
          <w:rFonts w:ascii="Arial" w:eastAsia="Times New Roman" w:hAnsi="Arial" w:cs="Arial"/>
          <w:lang w:eastAsia="en-GB"/>
        </w:rPr>
        <w:t>Ground Rents are charged</w:t>
      </w:r>
      <w:r>
        <w:rPr>
          <w:rFonts w:ascii="Arial" w:eastAsia="Times New Roman" w:hAnsi="Arial" w:cs="Arial"/>
          <w:lang w:eastAsia="en-GB"/>
        </w:rPr>
        <w:t xml:space="preserve"> to leaseholders</w:t>
      </w:r>
      <w:r w:rsidRPr="001A7833">
        <w:rPr>
          <w:rFonts w:ascii="Arial" w:eastAsia="Times New Roman" w:hAnsi="Arial" w:cs="Arial"/>
          <w:lang w:eastAsia="en-GB"/>
        </w:rPr>
        <w:t xml:space="preserve"> and invoiced in accordance with the lease and using the prescribed format and timescales set out in s166 of the Commonhold and Leasehold Reform Act 2002.</w:t>
      </w:r>
      <w:r w:rsidR="00F324D2">
        <w:rPr>
          <w:rFonts w:ascii="Arial" w:eastAsia="Times New Roman" w:hAnsi="Arial" w:cs="Arial"/>
          <w:lang w:eastAsia="en-GB"/>
        </w:rPr>
        <w:t xml:space="preserve">  Ground rents do not form part of the service charge.</w:t>
      </w:r>
    </w:p>
    <w:p w14:paraId="54930DE6" w14:textId="77777777" w:rsidR="00CC67AA" w:rsidRDefault="00CC67AA" w:rsidP="00512FF7">
      <w:pPr>
        <w:ind w:left="0"/>
        <w:rPr>
          <w:rFonts w:ascii="Arial" w:hAnsi="Arial" w:cs="Arial"/>
          <w:b/>
        </w:rPr>
      </w:pPr>
    </w:p>
    <w:p w14:paraId="28890F6A" w14:textId="77777777" w:rsidR="006E284F" w:rsidRPr="00512FF7" w:rsidRDefault="00E83904" w:rsidP="00512FF7">
      <w:pPr>
        <w:ind w:left="0"/>
        <w:rPr>
          <w:rFonts w:ascii="Arial" w:hAnsi="Arial" w:cs="Arial"/>
          <w:b/>
        </w:rPr>
      </w:pPr>
      <w:r>
        <w:rPr>
          <w:rFonts w:ascii="Arial" w:hAnsi="Arial" w:cs="Arial"/>
          <w:b/>
        </w:rPr>
        <w:t>5.</w:t>
      </w:r>
      <w:r w:rsidR="00F324D2">
        <w:rPr>
          <w:rFonts w:ascii="Arial" w:hAnsi="Arial" w:cs="Arial"/>
          <w:b/>
        </w:rPr>
        <w:t>9</w:t>
      </w:r>
      <w:r w:rsidR="006E284F" w:rsidRPr="00512FF7">
        <w:rPr>
          <w:rFonts w:ascii="Arial" w:hAnsi="Arial" w:cs="Arial"/>
          <w:b/>
        </w:rPr>
        <w:t xml:space="preserve"> Management Charges and Administration Fees</w:t>
      </w:r>
    </w:p>
    <w:p w14:paraId="2D212DB3" w14:textId="183D4A8E" w:rsidR="006E284F" w:rsidRPr="00845B8F" w:rsidRDefault="006E284F" w:rsidP="00512FF7">
      <w:pPr>
        <w:widowControl w:val="0"/>
        <w:autoSpaceDE w:val="0"/>
        <w:autoSpaceDN w:val="0"/>
        <w:adjustRightInd w:val="0"/>
        <w:spacing w:after="240"/>
        <w:ind w:left="0"/>
        <w:rPr>
          <w:rFonts w:ascii="Arial" w:eastAsiaTheme="minorHAnsi" w:hAnsi="Arial" w:cs="Arial"/>
          <w:color w:val="FF0000"/>
        </w:rPr>
      </w:pPr>
      <w:r w:rsidRPr="00512FF7">
        <w:rPr>
          <w:rFonts w:ascii="Arial" w:eastAsiaTheme="minorHAnsi" w:hAnsi="Arial" w:cs="Arial"/>
          <w:color w:val="000000"/>
        </w:rPr>
        <w:t xml:space="preserve">Management Charges cover the costs of providing the management service. This includes the calculation and billing of the service charges, the collection and administration of monies, including Sinking Fund accounts, arrangement and payment of contracts, staffing costs and overheads such as stationery / postage / telephone call costs. All leaseholders and shared owners are charged a management charge in accordance with their lease. </w:t>
      </w:r>
    </w:p>
    <w:p w14:paraId="6CE2FDD9" w14:textId="77777777" w:rsidR="006E284F" w:rsidRDefault="006E284F" w:rsidP="00512FF7">
      <w:pPr>
        <w:ind w:left="0"/>
        <w:rPr>
          <w:rFonts w:ascii="Arial" w:hAnsi="Arial" w:cs="Arial"/>
        </w:rPr>
      </w:pPr>
      <w:r w:rsidRPr="00512FF7">
        <w:rPr>
          <w:rFonts w:ascii="Arial" w:hAnsi="Arial" w:cs="Arial"/>
        </w:rPr>
        <w:t>WCHG management charges vary from a percentage of services provided, to a fixed annual fee, dependent on the lease terms.</w:t>
      </w:r>
    </w:p>
    <w:p w14:paraId="5B315528" w14:textId="77777777" w:rsidR="00512FF7" w:rsidRDefault="00512FF7" w:rsidP="00512FF7">
      <w:pPr>
        <w:ind w:left="0"/>
        <w:rPr>
          <w:rFonts w:ascii="Arial" w:hAnsi="Arial" w:cs="Arial"/>
        </w:rPr>
      </w:pPr>
      <w:r>
        <w:rPr>
          <w:rFonts w:ascii="Arial" w:hAnsi="Arial" w:cs="Arial"/>
        </w:rPr>
        <w:t>Fixed annual fees may be increased in line with inflation.</w:t>
      </w:r>
    </w:p>
    <w:p w14:paraId="0E9CCBF5" w14:textId="77777777" w:rsidR="00845B8F" w:rsidRDefault="00845B8F" w:rsidP="00512FF7">
      <w:pPr>
        <w:ind w:left="0"/>
        <w:rPr>
          <w:rFonts w:ascii="Arial" w:hAnsi="Arial" w:cs="Arial"/>
        </w:rPr>
      </w:pPr>
    </w:p>
    <w:p w14:paraId="3049231D" w14:textId="77777777" w:rsidR="00845B8F" w:rsidRPr="00512FF7" w:rsidRDefault="00845B8F" w:rsidP="00512FF7">
      <w:pPr>
        <w:ind w:left="0"/>
        <w:rPr>
          <w:rFonts w:ascii="Arial" w:hAnsi="Arial" w:cs="Arial"/>
        </w:rPr>
      </w:pPr>
    </w:p>
    <w:p w14:paraId="00D4D05A" w14:textId="77777777" w:rsidR="007039CA" w:rsidRDefault="00166AC6" w:rsidP="00543236">
      <w:pPr>
        <w:ind w:left="0"/>
        <w:rPr>
          <w:rFonts w:ascii="Arial" w:hAnsi="Arial" w:cs="Arial"/>
          <w:b/>
        </w:rPr>
      </w:pPr>
      <w:r>
        <w:rPr>
          <w:rFonts w:ascii="Arial" w:hAnsi="Arial" w:cs="Arial"/>
          <w:b/>
        </w:rPr>
        <w:t>5.</w:t>
      </w:r>
      <w:r w:rsidR="00F324D2">
        <w:rPr>
          <w:rFonts w:ascii="Arial" w:hAnsi="Arial" w:cs="Arial"/>
          <w:b/>
        </w:rPr>
        <w:t>10</w:t>
      </w:r>
      <w:r>
        <w:rPr>
          <w:rFonts w:ascii="Arial" w:hAnsi="Arial" w:cs="Arial"/>
          <w:b/>
        </w:rPr>
        <w:t xml:space="preserve"> </w:t>
      </w:r>
      <w:r w:rsidR="007039CA" w:rsidRPr="007039CA">
        <w:rPr>
          <w:rFonts w:ascii="Arial" w:hAnsi="Arial" w:cs="Arial"/>
          <w:b/>
        </w:rPr>
        <w:t>Other Administration Fees</w:t>
      </w:r>
    </w:p>
    <w:p w14:paraId="7F49C4BD" w14:textId="77777777" w:rsidR="007039CA" w:rsidRPr="007039CA" w:rsidRDefault="007039CA" w:rsidP="00543236">
      <w:pPr>
        <w:ind w:left="0"/>
        <w:rPr>
          <w:rFonts w:ascii="Arial" w:hAnsi="Arial" w:cs="Arial"/>
        </w:rPr>
      </w:pPr>
      <w:r w:rsidRPr="007039CA">
        <w:rPr>
          <w:rFonts w:ascii="Arial" w:hAnsi="Arial" w:cs="Arial"/>
        </w:rPr>
        <w:t>Additional administration fees may be charged to customers, who are leaseholders or shared owners, in connection with the sale of their leasehold/share ownership share.</w:t>
      </w:r>
    </w:p>
    <w:p w14:paraId="4C0D81C5" w14:textId="77777777" w:rsidR="006A1BDC" w:rsidRPr="007039CA" w:rsidRDefault="007039CA" w:rsidP="00543236">
      <w:pPr>
        <w:ind w:left="0"/>
        <w:rPr>
          <w:rFonts w:ascii="Arial" w:hAnsi="Arial" w:cs="Arial"/>
        </w:rPr>
      </w:pPr>
      <w:r w:rsidRPr="007039CA">
        <w:rPr>
          <w:rFonts w:ascii="Arial" w:hAnsi="Arial" w:cs="Arial"/>
        </w:rPr>
        <w:t>These include</w:t>
      </w:r>
      <w:r w:rsidR="00FE11F9">
        <w:rPr>
          <w:rFonts w:ascii="Arial" w:hAnsi="Arial" w:cs="Arial"/>
        </w:rPr>
        <w:t>, but are not limited to</w:t>
      </w:r>
    </w:p>
    <w:p w14:paraId="3D38325E"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hAnsi="Arial" w:cs="Arial"/>
          <w:color w:val="000000"/>
        </w:rPr>
      </w:pPr>
      <w:r w:rsidRPr="007039CA">
        <w:rPr>
          <w:rFonts w:ascii="Arial" w:hAnsi="Arial" w:cs="Arial"/>
          <w:color w:val="000000"/>
        </w:rPr>
        <w:t xml:space="preserve">Provision of past service charge accounts and other information for a seller’s information pack </w:t>
      </w:r>
      <w:r w:rsidRPr="007039CA">
        <w:rPr>
          <w:rFonts w:ascii="MS Mincho" w:eastAsia="MS Mincho" w:hAnsi="MS Mincho" w:cs="MS Mincho"/>
          <w:color w:val="000000"/>
        </w:rPr>
        <w:t> </w:t>
      </w:r>
    </w:p>
    <w:p w14:paraId="2FF104C9"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hAnsi="Arial" w:cs="Arial"/>
          <w:color w:val="000000"/>
        </w:rPr>
      </w:pPr>
      <w:r w:rsidRPr="007039CA">
        <w:rPr>
          <w:rFonts w:ascii="Arial" w:hAnsi="Arial" w:cs="Arial"/>
          <w:color w:val="000000"/>
        </w:rPr>
        <w:t>Provision of copies of leases</w:t>
      </w:r>
      <w:r w:rsidRPr="007039CA">
        <w:rPr>
          <w:rFonts w:ascii="MS Mincho" w:eastAsia="MS Mincho" w:hAnsi="MS Mincho" w:cs="MS Mincho"/>
          <w:color w:val="000000"/>
        </w:rPr>
        <w:t> </w:t>
      </w:r>
    </w:p>
    <w:p w14:paraId="4C51552E"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hAnsi="Arial" w:cs="Arial"/>
          <w:color w:val="000000"/>
        </w:rPr>
      </w:pPr>
      <w:r w:rsidRPr="007039CA">
        <w:rPr>
          <w:rFonts w:ascii="Arial" w:hAnsi="Arial" w:cs="Arial"/>
          <w:color w:val="000000"/>
        </w:rPr>
        <w:t xml:space="preserve">Administration of a notice of re-mortgage </w:t>
      </w:r>
      <w:r w:rsidRPr="007039CA">
        <w:rPr>
          <w:rFonts w:ascii="MS Mincho" w:eastAsia="MS Mincho" w:hAnsi="MS Mincho" w:cs="MS Mincho"/>
          <w:color w:val="000000"/>
        </w:rPr>
        <w:t> </w:t>
      </w:r>
    </w:p>
    <w:p w14:paraId="673DAE75"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eastAsiaTheme="minorHAnsi"/>
          <w:color w:val="000000"/>
        </w:rPr>
      </w:pPr>
      <w:r w:rsidRPr="007039CA">
        <w:rPr>
          <w:rFonts w:ascii="Arial" w:hAnsi="Arial" w:cs="Arial"/>
          <w:color w:val="000000"/>
        </w:rPr>
        <w:t xml:space="preserve">Administration of a transfer of names on a lease </w:t>
      </w:r>
      <w:r w:rsidRPr="007039CA">
        <w:rPr>
          <w:rFonts w:ascii="MS Mincho" w:eastAsia="MS Mincho" w:hAnsi="MS Mincho" w:cs="MS Mincho"/>
          <w:color w:val="000000"/>
        </w:rPr>
        <w:t> </w:t>
      </w:r>
    </w:p>
    <w:p w14:paraId="445ABC29"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eastAsiaTheme="minorHAnsi" w:hAnsi="Arial" w:cs="Arial"/>
          <w:color w:val="000000"/>
        </w:rPr>
      </w:pPr>
      <w:r w:rsidRPr="007039CA">
        <w:rPr>
          <w:rFonts w:ascii="Arial" w:eastAsiaTheme="minorHAnsi" w:hAnsi="Arial" w:cs="Arial"/>
          <w:color w:val="000000"/>
        </w:rPr>
        <w:t xml:space="preserve">The approval of a further loan </w:t>
      </w:r>
    </w:p>
    <w:p w14:paraId="67F13BD2" w14:textId="77777777" w:rsidR="007039CA" w:rsidRPr="007039CA"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eastAsiaTheme="minorHAnsi" w:hAnsi="Arial" w:cs="Arial"/>
          <w:color w:val="000000"/>
        </w:rPr>
      </w:pPr>
      <w:r w:rsidRPr="007039CA">
        <w:rPr>
          <w:rFonts w:ascii="Arial" w:eastAsiaTheme="minorHAnsi" w:hAnsi="Arial" w:cs="Arial"/>
          <w:color w:val="000000"/>
        </w:rPr>
        <w:t xml:space="preserve">The provision of additional copies of correspondence </w:t>
      </w:r>
    </w:p>
    <w:p w14:paraId="2C90D9B5" w14:textId="77777777" w:rsidR="00FE11F9"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eastAsiaTheme="minorHAnsi" w:hAnsi="Arial" w:cs="Arial"/>
          <w:color w:val="000000"/>
        </w:rPr>
      </w:pPr>
      <w:r w:rsidRPr="00FE11F9">
        <w:rPr>
          <w:rFonts w:ascii="Arial" w:eastAsiaTheme="minorHAnsi" w:hAnsi="Arial" w:cs="Arial"/>
          <w:color w:val="000000"/>
        </w:rPr>
        <w:t>The administration involved in giving / declining permission for alterations</w:t>
      </w:r>
    </w:p>
    <w:p w14:paraId="4BFCB63E" w14:textId="77777777" w:rsidR="00FE11F9"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eastAsiaTheme="minorHAnsi" w:hAnsi="Arial" w:cs="Arial"/>
          <w:color w:val="000000"/>
        </w:rPr>
      </w:pPr>
      <w:r w:rsidRPr="00FE11F9">
        <w:rPr>
          <w:rFonts w:ascii="Arial" w:eastAsiaTheme="minorHAnsi" w:hAnsi="Arial" w:cs="Arial"/>
          <w:color w:val="000000"/>
        </w:rPr>
        <w:t>The provision of a copy of the service charge budget or accounts</w:t>
      </w:r>
    </w:p>
    <w:p w14:paraId="38E838EC" w14:textId="77777777" w:rsidR="007039CA" w:rsidRPr="00FE11F9" w:rsidRDefault="007039CA" w:rsidP="007039CA">
      <w:pPr>
        <w:widowControl w:val="0"/>
        <w:numPr>
          <w:ilvl w:val="0"/>
          <w:numId w:val="13"/>
        </w:numPr>
        <w:tabs>
          <w:tab w:val="left" w:pos="220"/>
          <w:tab w:val="left" w:pos="720"/>
        </w:tabs>
        <w:autoSpaceDE w:val="0"/>
        <w:autoSpaceDN w:val="0"/>
        <w:adjustRightInd w:val="0"/>
        <w:spacing w:after="240" w:line="300" w:lineRule="atLeast"/>
        <w:contextualSpacing/>
        <w:jc w:val="left"/>
        <w:rPr>
          <w:rFonts w:ascii="Arial" w:eastAsiaTheme="minorHAnsi" w:hAnsi="Arial" w:cs="Arial"/>
          <w:color w:val="000000"/>
        </w:rPr>
      </w:pPr>
      <w:r w:rsidRPr="00FE11F9">
        <w:rPr>
          <w:rFonts w:ascii="Arial" w:eastAsiaTheme="minorHAnsi" w:hAnsi="Arial" w:cs="Arial"/>
          <w:color w:val="000000"/>
        </w:rPr>
        <w:t xml:space="preserve">The administration in amending records for leaseholder sublets. </w:t>
      </w:r>
    </w:p>
    <w:p w14:paraId="3FDC8BC1" w14:textId="77777777" w:rsidR="00166AC6" w:rsidRDefault="00166AC6" w:rsidP="00512FF7">
      <w:pPr>
        <w:spacing w:after="0"/>
        <w:ind w:left="0"/>
        <w:contextualSpacing/>
        <w:rPr>
          <w:rFonts w:ascii="Arial" w:eastAsia="Times New Roman" w:hAnsi="Arial" w:cs="Arial"/>
          <w:b/>
          <w:lang w:eastAsia="en-GB"/>
        </w:rPr>
      </w:pPr>
    </w:p>
    <w:p w14:paraId="0AEA32AC" w14:textId="77777777" w:rsidR="000241DF" w:rsidRDefault="000241DF" w:rsidP="00512FF7">
      <w:pPr>
        <w:spacing w:after="0"/>
        <w:ind w:left="0"/>
        <w:contextualSpacing/>
        <w:rPr>
          <w:rFonts w:ascii="Arial" w:eastAsia="Times New Roman" w:hAnsi="Arial" w:cs="Arial"/>
          <w:b/>
          <w:lang w:eastAsia="en-GB"/>
        </w:rPr>
      </w:pPr>
    </w:p>
    <w:p w14:paraId="55A6B5DE" w14:textId="77777777" w:rsidR="00512FF7" w:rsidRPr="00512FF7" w:rsidRDefault="00166AC6" w:rsidP="00512FF7">
      <w:pPr>
        <w:spacing w:after="0"/>
        <w:ind w:left="0"/>
        <w:contextualSpacing/>
        <w:rPr>
          <w:rFonts w:ascii="Arial" w:eastAsia="Times New Roman" w:hAnsi="Arial" w:cs="Arial"/>
          <w:b/>
          <w:lang w:eastAsia="en-GB"/>
        </w:rPr>
      </w:pPr>
      <w:r>
        <w:rPr>
          <w:rFonts w:ascii="Arial" w:eastAsia="Times New Roman" w:hAnsi="Arial" w:cs="Arial"/>
          <w:b/>
          <w:lang w:eastAsia="en-GB"/>
        </w:rPr>
        <w:t>5.1</w:t>
      </w:r>
      <w:r w:rsidR="00F324D2">
        <w:rPr>
          <w:rFonts w:ascii="Arial" w:eastAsia="Times New Roman" w:hAnsi="Arial" w:cs="Arial"/>
          <w:b/>
          <w:lang w:eastAsia="en-GB"/>
        </w:rPr>
        <w:t>1</w:t>
      </w:r>
      <w:r>
        <w:rPr>
          <w:rFonts w:ascii="Arial" w:eastAsia="Times New Roman" w:hAnsi="Arial" w:cs="Arial"/>
          <w:b/>
          <w:lang w:eastAsia="en-GB"/>
        </w:rPr>
        <w:t xml:space="preserve"> </w:t>
      </w:r>
      <w:r w:rsidR="00512FF7">
        <w:rPr>
          <w:rFonts w:ascii="Arial" w:eastAsia="Times New Roman" w:hAnsi="Arial" w:cs="Arial"/>
          <w:b/>
          <w:lang w:eastAsia="en-GB"/>
        </w:rPr>
        <w:t xml:space="preserve">Buildings </w:t>
      </w:r>
      <w:r w:rsidR="00512FF7" w:rsidRPr="00512FF7">
        <w:rPr>
          <w:rFonts w:ascii="Arial" w:eastAsia="Times New Roman" w:hAnsi="Arial" w:cs="Arial"/>
          <w:b/>
          <w:lang w:eastAsia="en-GB"/>
        </w:rPr>
        <w:t>Insurance</w:t>
      </w:r>
    </w:p>
    <w:p w14:paraId="779BE721" w14:textId="77777777" w:rsidR="00512FF7" w:rsidRPr="00512FF7" w:rsidRDefault="00512FF7" w:rsidP="00512FF7">
      <w:pPr>
        <w:spacing w:after="0"/>
        <w:ind w:left="0"/>
        <w:contextualSpacing/>
        <w:rPr>
          <w:rFonts w:ascii="Arial" w:eastAsia="Times New Roman" w:hAnsi="Arial" w:cs="Arial"/>
          <w:b/>
          <w:lang w:eastAsia="en-GB"/>
        </w:rPr>
      </w:pPr>
    </w:p>
    <w:p w14:paraId="32FEC2E4" w14:textId="77777777" w:rsidR="0031793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 xml:space="preserve">In </w:t>
      </w:r>
      <w:r w:rsidR="00317937">
        <w:rPr>
          <w:rFonts w:ascii="Arial" w:eastAsia="Times New Roman" w:hAnsi="Arial" w:cs="Arial"/>
          <w:lang w:eastAsia="en-GB"/>
        </w:rPr>
        <w:t>general</w:t>
      </w:r>
      <w:r w:rsidR="00E37EA3">
        <w:rPr>
          <w:rFonts w:ascii="Arial" w:eastAsia="Times New Roman" w:hAnsi="Arial" w:cs="Arial"/>
          <w:lang w:eastAsia="en-GB"/>
        </w:rPr>
        <w:t>,</w:t>
      </w:r>
      <w:r w:rsidRPr="00512FF7">
        <w:rPr>
          <w:rFonts w:ascii="Arial" w:eastAsia="Times New Roman" w:hAnsi="Arial" w:cs="Arial"/>
          <w:lang w:eastAsia="en-GB"/>
        </w:rPr>
        <w:t xml:space="preserve"> WCHG is responsible for providing buildings insurance</w:t>
      </w:r>
      <w:r w:rsidR="00C4365E">
        <w:rPr>
          <w:rFonts w:ascii="Arial" w:eastAsia="Times New Roman" w:hAnsi="Arial" w:cs="Arial"/>
          <w:lang w:eastAsia="en-GB"/>
        </w:rPr>
        <w:t>.</w:t>
      </w:r>
      <w:r w:rsidR="008B5741">
        <w:rPr>
          <w:rFonts w:ascii="Arial" w:eastAsia="Times New Roman" w:hAnsi="Arial" w:cs="Arial"/>
          <w:lang w:eastAsia="en-GB"/>
        </w:rPr>
        <w:t xml:space="preserve"> Where this is not the case</w:t>
      </w:r>
      <w:r w:rsidR="00E37EA3">
        <w:rPr>
          <w:rFonts w:ascii="Arial" w:eastAsia="Times New Roman" w:hAnsi="Arial" w:cs="Arial"/>
          <w:lang w:eastAsia="en-GB"/>
        </w:rPr>
        <w:t xml:space="preserve"> this will be made clear to the particular customers to whom this exception applies</w:t>
      </w:r>
    </w:p>
    <w:p w14:paraId="72877FDD" w14:textId="77777777" w:rsidR="00317937" w:rsidRDefault="00317937" w:rsidP="00512FF7">
      <w:pPr>
        <w:spacing w:after="0"/>
        <w:ind w:left="0"/>
        <w:rPr>
          <w:rFonts w:ascii="Arial" w:eastAsia="Times New Roman" w:hAnsi="Arial" w:cs="Arial"/>
          <w:lang w:eastAsia="en-GB"/>
        </w:rPr>
      </w:pPr>
    </w:p>
    <w:p w14:paraId="534135B9" w14:textId="77777777" w:rsidR="00317937" w:rsidRDefault="00317937" w:rsidP="00512FF7">
      <w:pPr>
        <w:spacing w:after="0"/>
        <w:ind w:left="0"/>
        <w:rPr>
          <w:rFonts w:ascii="Arial" w:eastAsia="Times New Roman" w:hAnsi="Arial" w:cs="Arial"/>
          <w:lang w:eastAsia="en-GB"/>
        </w:rPr>
      </w:pPr>
      <w:r>
        <w:rPr>
          <w:rFonts w:ascii="Arial" w:eastAsia="Times New Roman" w:hAnsi="Arial" w:cs="Arial"/>
          <w:lang w:eastAsia="en-GB"/>
        </w:rPr>
        <w:t>Customers are responsible for arranging insurance for the contents of their home.</w:t>
      </w:r>
      <w:r w:rsidR="00E37EA3">
        <w:rPr>
          <w:rFonts w:ascii="Arial" w:eastAsia="Times New Roman" w:hAnsi="Arial" w:cs="Arial"/>
          <w:lang w:eastAsia="en-GB"/>
        </w:rPr>
        <w:t xml:space="preserve"> WCHG does not arrange or hold any insurance cover in this respect of contents in customer</w:t>
      </w:r>
      <w:r w:rsidR="000241DF">
        <w:rPr>
          <w:rFonts w:ascii="Arial" w:eastAsia="Times New Roman" w:hAnsi="Arial" w:cs="Arial"/>
          <w:lang w:eastAsia="en-GB"/>
        </w:rPr>
        <w:t>’</w:t>
      </w:r>
      <w:r w:rsidR="00E37EA3">
        <w:rPr>
          <w:rFonts w:ascii="Arial" w:eastAsia="Times New Roman" w:hAnsi="Arial" w:cs="Arial"/>
          <w:lang w:eastAsia="en-GB"/>
        </w:rPr>
        <w:t>s homes.</w:t>
      </w:r>
    </w:p>
    <w:p w14:paraId="07B6DE8A" w14:textId="77777777" w:rsidR="00317937" w:rsidRDefault="00317937" w:rsidP="00512FF7">
      <w:pPr>
        <w:spacing w:after="0"/>
        <w:ind w:left="0"/>
        <w:rPr>
          <w:rFonts w:ascii="Arial" w:eastAsia="Times New Roman" w:hAnsi="Arial" w:cs="Arial"/>
          <w:lang w:eastAsia="en-GB"/>
        </w:rPr>
      </w:pPr>
    </w:p>
    <w:p w14:paraId="0D840FEE" w14:textId="77777777" w:rsidR="00512FF7" w:rsidRPr="00512FF7" w:rsidRDefault="00317937" w:rsidP="00512FF7">
      <w:pPr>
        <w:spacing w:after="0"/>
        <w:ind w:left="0"/>
        <w:rPr>
          <w:rFonts w:ascii="Arial" w:eastAsia="Times New Roman" w:hAnsi="Arial" w:cs="Arial"/>
          <w:lang w:eastAsia="en-GB"/>
        </w:rPr>
      </w:pPr>
      <w:r>
        <w:rPr>
          <w:rFonts w:ascii="Arial" w:eastAsia="Times New Roman" w:hAnsi="Arial" w:cs="Arial"/>
          <w:lang w:eastAsia="en-GB"/>
        </w:rPr>
        <w:t>Where WCHG</w:t>
      </w:r>
      <w:r w:rsidR="00E37EA3">
        <w:rPr>
          <w:rFonts w:ascii="Arial" w:eastAsia="Times New Roman" w:hAnsi="Arial" w:cs="Arial"/>
          <w:lang w:eastAsia="en-GB"/>
        </w:rPr>
        <w:t xml:space="preserve"> arranges buildings insurance for customers who are leaseholders or</w:t>
      </w:r>
      <w:r>
        <w:rPr>
          <w:rFonts w:ascii="Arial" w:eastAsia="Times New Roman" w:hAnsi="Arial" w:cs="Arial"/>
          <w:lang w:eastAsia="en-GB"/>
        </w:rPr>
        <w:t xml:space="preserve"> </w:t>
      </w:r>
      <w:r w:rsidR="00E37EA3">
        <w:rPr>
          <w:rFonts w:ascii="Arial" w:eastAsia="Times New Roman" w:hAnsi="Arial" w:cs="Arial"/>
          <w:lang w:eastAsia="en-GB"/>
        </w:rPr>
        <w:t>shared owners the cost of buildings insurance is passed to those customers</w:t>
      </w:r>
      <w:r w:rsidR="00512FF7" w:rsidRPr="00512FF7">
        <w:rPr>
          <w:rFonts w:ascii="Arial" w:eastAsia="Times New Roman" w:hAnsi="Arial" w:cs="Arial"/>
          <w:lang w:eastAsia="en-GB"/>
        </w:rPr>
        <w:t xml:space="preserve"> through the service charge.</w:t>
      </w:r>
    </w:p>
    <w:p w14:paraId="1E63CEFE" w14:textId="77777777" w:rsidR="00512FF7" w:rsidRPr="00512FF7" w:rsidRDefault="00512FF7" w:rsidP="00512FF7">
      <w:pPr>
        <w:spacing w:after="0"/>
        <w:ind w:left="0"/>
        <w:rPr>
          <w:rFonts w:ascii="Arial" w:eastAsia="Times New Roman" w:hAnsi="Arial" w:cs="Arial"/>
          <w:lang w:eastAsia="en-GB"/>
        </w:rPr>
      </w:pPr>
    </w:p>
    <w:p w14:paraId="76089C38"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WCHG will procure the best value insurance policy for homes on an annual or a longer</w:t>
      </w:r>
      <w:r w:rsidR="000241DF">
        <w:rPr>
          <w:rFonts w:ascii="Arial" w:eastAsia="Times New Roman" w:hAnsi="Arial" w:cs="Arial"/>
          <w:lang w:eastAsia="en-GB"/>
        </w:rPr>
        <w:t>-</w:t>
      </w:r>
      <w:r w:rsidRPr="00512FF7">
        <w:rPr>
          <w:rFonts w:ascii="Arial" w:eastAsia="Times New Roman" w:hAnsi="Arial" w:cs="Arial"/>
          <w:lang w:eastAsia="en-GB"/>
        </w:rPr>
        <w:t>term contract.</w:t>
      </w:r>
    </w:p>
    <w:p w14:paraId="435E0827" w14:textId="77777777" w:rsidR="00166AC6" w:rsidRDefault="00166AC6" w:rsidP="00512FF7">
      <w:pPr>
        <w:spacing w:after="0"/>
        <w:ind w:left="0"/>
        <w:rPr>
          <w:rFonts w:ascii="Arial" w:eastAsia="Times New Roman" w:hAnsi="Arial" w:cs="Arial"/>
          <w:lang w:eastAsia="en-GB"/>
        </w:rPr>
      </w:pPr>
    </w:p>
    <w:p w14:paraId="096BAB18"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 xml:space="preserve">Each leaseholder will be recharged their share of the insurance premium as </w:t>
      </w:r>
      <w:r>
        <w:rPr>
          <w:rFonts w:ascii="Arial" w:eastAsia="Times New Roman" w:hAnsi="Arial" w:cs="Arial"/>
          <w:lang w:eastAsia="en-GB"/>
        </w:rPr>
        <w:t xml:space="preserve">advised </w:t>
      </w:r>
      <w:r w:rsidRPr="00512FF7">
        <w:rPr>
          <w:rFonts w:ascii="Arial" w:eastAsia="Times New Roman" w:hAnsi="Arial" w:cs="Arial"/>
          <w:lang w:eastAsia="en-GB"/>
        </w:rPr>
        <w:t xml:space="preserve">annually by </w:t>
      </w:r>
      <w:r>
        <w:rPr>
          <w:rFonts w:ascii="Arial" w:eastAsia="Times New Roman" w:hAnsi="Arial" w:cs="Arial"/>
          <w:lang w:eastAsia="en-GB"/>
        </w:rPr>
        <w:t>the insurance provider.</w:t>
      </w:r>
    </w:p>
    <w:p w14:paraId="028F72EB" w14:textId="77777777" w:rsidR="00512FF7" w:rsidRPr="00512FF7" w:rsidRDefault="00512FF7" w:rsidP="00512FF7">
      <w:pPr>
        <w:spacing w:after="0"/>
        <w:contextualSpacing/>
        <w:rPr>
          <w:rFonts w:ascii="Arial" w:eastAsia="Times New Roman" w:hAnsi="Arial" w:cs="Arial"/>
          <w:lang w:eastAsia="en-GB"/>
        </w:rPr>
      </w:pPr>
    </w:p>
    <w:p w14:paraId="54384184"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 xml:space="preserve">WCHG will ensure that each building within its responsibility and all communal areas are adequately insured.  </w:t>
      </w:r>
    </w:p>
    <w:p w14:paraId="0D363BE0" w14:textId="77777777" w:rsidR="00512FF7" w:rsidRPr="00512FF7" w:rsidRDefault="00512FF7" w:rsidP="00512FF7">
      <w:pPr>
        <w:spacing w:after="0"/>
        <w:contextualSpacing/>
        <w:rPr>
          <w:rFonts w:ascii="Arial" w:eastAsia="Times New Roman" w:hAnsi="Arial" w:cs="Arial"/>
          <w:lang w:eastAsia="en-GB"/>
        </w:rPr>
      </w:pPr>
    </w:p>
    <w:p w14:paraId="74A3BF76"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 xml:space="preserve">An annual summary of cover will be made available to all leaseholders.  </w:t>
      </w:r>
    </w:p>
    <w:p w14:paraId="48F50FD2" w14:textId="77777777" w:rsidR="00512FF7" w:rsidRPr="00512FF7" w:rsidRDefault="00512FF7" w:rsidP="00512FF7">
      <w:pPr>
        <w:spacing w:after="0"/>
        <w:contextualSpacing/>
        <w:rPr>
          <w:rFonts w:ascii="Arial" w:eastAsia="Times New Roman" w:hAnsi="Arial" w:cs="Arial"/>
          <w:lang w:eastAsia="en-GB"/>
        </w:rPr>
      </w:pPr>
    </w:p>
    <w:p w14:paraId="7C6CD22A" w14:textId="4E7CF352"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 xml:space="preserve">WCHG will </w:t>
      </w:r>
      <w:r>
        <w:rPr>
          <w:rFonts w:ascii="Arial" w:eastAsia="Times New Roman" w:hAnsi="Arial" w:cs="Arial"/>
          <w:lang w:eastAsia="en-GB"/>
        </w:rPr>
        <w:t xml:space="preserve">provide </w:t>
      </w:r>
      <w:r w:rsidRPr="00512FF7">
        <w:rPr>
          <w:rFonts w:ascii="Arial" w:eastAsia="Times New Roman" w:hAnsi="Arial" w:cs="Arial"/>
          <w:lang w:eastAsia="en-GB"/>
        </w:rPr>
        <w:t>leaseholders all the</w:t>
      </w:r>
      <w:r w:rsidR="00695E8F">
        <w:rPr>
          <w:rFonts w:ascii="Arial" w:eastAsia="Times New Roman" w:hAnsi="Arial" w:cs="Arial"/>
          <w:lang w:eastAsia="en-GB"/>
        </w:rPr>
        <w:t xml:space="preserve"> relevant</w:t>
      </w:r>
      <w:r w:rsidRPr="00512FF7">
        <w:rPr>
          <w:rFonts w:ascii="Arial" w:eastAsia="Times New Roman" w:hAnsi="Arial" w:cs="Arial"/>
          <w:lang w:eastAsia="en-GB"/>
        </w:rPr>
        <w:t xml:space="preserve"> information they require to make a claim should they need to.</w:t>
      </w:r>
    </w:p>
    <w:p w14:paraId="75C77E28" w14:textId="77777777" w:rsidR="00512FF7" w:rsidRPr="00512FF7" w:rsidRDefault="00512FF7" w:rsidP="00512FF7">
      <w:pPr>
        <w:spacing w:after="0"/>
        <w:contextualSpacing/>
        <w:rPr>
          <w:rFonts w:ascii="Arial" w:eastAsia="Times New Roman" w:hAnsi="Arial" w:cs="Arial"/>
          <w:lang w:eastAsia="en-GB"/>
        </w:rPr>
      </w:pPr>
    </w:p>
    <w:p w14:paraId="013FA9C3"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WCHG will give advice to leaseholders on how they can make a claim if they have a defect problem with a recently built property covered under a new build warranty.</w:t>
      </w:r>
    </w:p>
    <w:p w14:paraId="0260609B" w14:textId="77777777" w:rsidR="00512FF7" w:rsidRPr="00512FF7" w:rsidRDefault="00512FF7" w:rsidP="00512FF7">
      <w:pPr>
        <w:spacing w:after="0"/>
        <w:contextualSpacing/>
        <w:rPr>
          <w:rFonts w:ascii="Arial" w:eastAsia="Times New Roman" w:hAnsi="Arial" w:cs="Arial"/>
          <w:lang w:eastAsia="en-GB"/>
        </w:rPr>
      </w:pPr>
    </w:p>
    <w:p w14:paraId="4666C7B7" w14:textId="77777777" w:rsidR="00512FF7" w:rsidRPr="00512FF7" w:rsidRDefault="00512FF7" w:rsidP="00512FF7">
      <w:pPr>
        <w:spacing w:after="0"/>
        <w:ind w:left="0"/>
        <w:rPr>
          <w:rFonts w:ascii="Arial" w:eastAsia="Times New Roman" w:hAnsi="Arial" w:cs="Arial"/>
          <w:lang w:eastAsia="en-GB"/>
        </w:rPr>
      </w:pPr>
      <w:r w:rsidRPr="00512FF7">
        <w:rPr>
          <w:rFonts w:ascii="Arial" w:eastAsia="Times New Roman" w:hAnsi="Arial" w:cs="Arial"/>
          <w:lang w:eastAsia="en-GB"/>
        </w:rPr>
        <w:t>WCHG will make a claim if there is a defect problem that needs to be rectified in a communal area and it is covered by a new build warranty.</w:t>
      </w:r>
    </w:p>
    <w:p w14:paraId="70089FAA" w14:textId="77777777" w:rsidR="00512FF7" w:rsidRPr="00512FF7" w:rsidRDefault="00512FF7" w:rsidP="00512FF7">
      <w:pPr>
        <w:spacing w:after="0"/>
        <w:ind w:left="0"/>
        <w:contextualSpacing/>
        <w:rPr>
          <w:rFonts w:ascii="Arial" w:eastAsia="Times New Roman" w:hAnsi="Arial" w:cs="Arial"/>
          <w:lang w:eastAsia="en-GB"/>
        </w:rPr>
      </w:pPr>
    </w:p>
    <w:p w14:paraId="15E228BB" w14:textId="77777777" w:rsidR="00512FF7" w:rsidRPr="00512FF7" w:rsidRDefault="00512FF7" w:rsidP="00512FF7">
      <w:pPr>
        <w:spacing w:after="0"/>
        <w:ind w:left="0"/>
        <w:contextualSpacing/>
        <w:rPr>
          <w:rFonts w:ascii="Arial" w:eastAsia="Times New Roman" w:hAnsi="Arial" w:cs="Arial"/>
          <w:lang w:eastAsia="en-GB"/>
        </w:rPr>
      </w:pPr>
      <w:r w:rsidRPr="00512FF7">
        <w:rPr>
          <w:rFonts w:ascii="Arial" w:eastAsia="Times New Roman" w:hAnsi="Arial" w:cs="Arial"/>
          <w:lang w:eastAsia="en-GB"/>
        </w:rPr>
        <w:lastRenderedPageBreak/>
        <w:t>Where the leaseholder is responsible for arrangement of buildings insurance, WCHG will offer to arrange cover under an individual signed agreement which will be treated as an additional charge.</w:t>
      </w:r>
    </w:p>
    <w:p w14:paraId="20415E09" w14:textId="77777777" w:rsidR="00512FF7" w:rsidRDefault="00512FF7" w:rsidP="00543236">
      <w:pPr>
        <w:ind w:left="0"/>
        <w:rPr>
          <w:rFonts w:ascii="Arial" w:hAnsi="Arial" w:cs="Arial"/>
        </w:rPr>
      </w:pPr>
    </w:p>
    <w:p w14:paraId="06C1396B" w14:textId="5D75B794" w:rsidR="000241DF" w:rsidRPr="000241DF" w:rsidRDefault="000241DF" w:rsidP="000241DF">
      <w:pPr>
        <w:spacing w:after="240" w:line="259" w:lineRule="auto"/>
        <w:ind w:left="0"/>
        <w:rPr>
          <w:rFonts w:ascii="Arial" w:eastAsiaTheme="minorHAnsi" w:hAnsi="Arial" w:cs="Arial"/>
          <w:b/>
          <w:bCs/>
          <w:lang w:eastAsia="en-GB"/>
        </w:rPr>
      </w:pPr>
      <w:r>
        <w:rPr>
          <w:rFonts w:ascii="Arial" w:eastAsiaTheme="minorHAnsi" w:hAnsi="Arial" w:cs="Arial"/>
          <w:b/>
          <w:bCs/>
          <w:lang w:eastAsia="en-GB"/>
        </w:rPr>
        <w:t>5.1</w:t>
      </w:r>
      <w:r w:rsidR="00F324D2">
        <w:rPr>
          <w:rFonts w:ascii="Arial" w:eastAsiaTheme="minorHAnsi" w:hAnsi="Arial" w:cs="Arial"/>
          <w:b/>
          <w:bCs/>
          <w:lang w:eastAsia="en-GB"/>
        </w:rPr>
        <w:t>2</w:t>
      </w:r>
      <w:r>
        <w:rPr>
          <w:rFonts w:ascii="Arial" w:eastAsiaTheme="minorHAnsi" w:hAnsi="Arial" w:cs="Arial"/>
          <w:b/>
          <w:bCs/>
          <w:lang w:eastAsia="en-GB"/>
        </w:rPr>
        <w:t xml:space="preserve"> </w:t>
      </w:r>
      <w:r w:rsidRPr="000241DF">
        <w:rPr>
          <w:rFonts w:ascii="Arial" w:eastAsiaTheme="minorHAnsi" w:hAnsi="Arial" w:cs="Arial"/>
          <w:b/>
          <w:bCs/>
          <w:lang w:eastAsia="en-GB"/>
        </w:rPr>
        <w:t xml:space="preserve">New </w:t>
      </w:r>
      <w:r w:rsidR="009F3570">
        <w:rPr>
          <w:rFonts w:ascii="Arial" w:eastAsiaTheme="minorHAnsi" w:hAnsi="Arial" w:cs="Arial"/>
          <w:b/>
          <w:bCs/>
          <w:lang w:eastAsia="en-GB"/>
        </w:rPr>
        <w:t xml:space="preserve">Homes &amp; residential </w:t>
      </w:r>
      <w:r w:rsidRPr="000241DF">
        <w:rPr>
          <w:rFonts w:ascii="Arial" w:eastAsiaTheme="minorHAnsi" w:hAnsi="Arial" w:cs="Arial"/>
          <w:b/>
          <w:bCs/>
          <w:lang w:eastAsia="en-GB"/>
        </w:rPr>
        <w:t>developments</w:t>
      </w:r>
    </w:p>
    <w:p w14:paraId="3DC46F8D" w14:textId="6E2F7CA7" w:rsidR="000241DF" w:rsidRPr="000241DF" w:rsidRDefault="000241DF" w:rsidP="000241DF">
      <w:pPr>
        <w:spacing w:after="240" w:line="259" w:lineRule="auto"/>
        <w:ind w:left="0"/>
        <w:rPr>
          <w:rFonts w:ascii="Arial" w:eastAsiaTheme="minorHAnsi" w:hAnsi="Arial" w:cs="Arial"/>
          <w:lang w:eastAsia="en-GB"/>
        </w:rPr>
      </w:pPr>
      <w:r w:rsidRPr="000241DF">
        <w:rPr>
          <w:rFonts w:ascii="Arial" w:eastAsiaTheme="minorHAnsi" w:hAnsi="Arial" w:cs="Arial"/>
          <w:lang w:eastAsia="en-GB"/>
        </w:rPr>
        <w:t>It is our objective to build and develop new homes that are designed and constructed to be as efficient as possible to ensure that running costs, including associated service charges, are cost effective and affordable for customers</w:t>
      </w:r>
      <w:r w:rsidR="007C4040">
        <w:rPr>
          <w:rFonts w:ascii="Arial" w:eastAsiaTheme="minorHAnsi" w:hAnsi="Arial" w:cs="Arial"/>
          <w:lang w:eastAsia="en-GB"/>
        </w:rPr>
        <w:t xml:space="preserve"> including minimising the need fo</w:t>
      </w:r>
      <w:r w:rsidR="002A5E15">
        <w:rPr>
          <w:rFonts w:ascii="Arial" w:eastAsiaTheme="minorHAnsi" w:hAnsi="Arial" w:cs="Arial"/>
          <w:lang w:eastAsia="en-GB"/>
        </w:rPr>
        <w:t>r</w:t>
      </w:r>
      <w:r w:rsidR="007C4040">
        <w:rPr>
          <w:rFonts w:ascii="Arial" w:eastAsiaTheme="minorHAnsi" w:hAnsi="Arial" w:cs="Arial"/>
          <w:lang w:eastAsia="en-GB"/>
        </w:rPr>
        <w:t xml:space="preserve"> service charge items </w:t>
      </w:r>
      <w:r w:rsidRPr="000241DF">
        <w:rPr>
          <w:rFonts w:ascii="Arial" w:eastAsiaTheme="minorHAnsi" w:hAnsi="Arial" w:cs="Arial"/>
          <w:lang w:eastAsia="en-GB"/>
        </w:rPr>
        <w:t>.  We will determine which services will be provided and their costs from both external contractors and our own in-house maintenance team.</w:t>
      </w:r>
    </w:p>
    <w:p w14:paraId="33F8381C" w14:textId="59D9B5B7" w:rsidR="000241DF" w:rsidRPr="000241DF" w:rsidRDefault="000241DF" w:rsidP="000241DF">
      <w:pPr>
        <w:spacing w:after="240" w:line="259" w:lineRule="auto"/>
        <w:ind w:left="0"/>
        <w:rPr>
          <w:rFonts w:ascii="Arial" w:eastAsiaTheme="minorHAnsi" w:hAnsi="Arial" w:cs="Arial"/>
          <w:lang w:eastAsia="en-GB"/>
        </w:rPr>
      </w:pPr>
      <w:r w:rsidRPr="000241DF">
        <w:rPr>
          <w:rFonts w:ascii="Arial" w:eastAsiaTheme="minorHAnsi" w:hAnsi="Arial" w:cs="Arial"/>
          <w:lang w:eastAsia="en-GB"/>
        </w:rPr>
        <w:t xml:space="preserve">When appraising new developments that are projected to have a service charge, consideration will be given to the viability of any </w:t>
      </w:r>
      <w:proofErr w:type="spellStart"/>
      <w:r w:rsidRPr="000241DF">
        <w:rPr>
          <w:rFonts w:ascii="Arial" w:eastAsiaTheme="minorHAnsi" w:hAnsi="Arial" w:cs="Arial"/>
          <w:lang w:eastAsia="en-GB"/>
        </w:rPr>
        <w:t>af</w:t>
      </w:r>
      <w:proofErr w:type="spellEnd"/>
      <w:r w:rsidRPr="000241DF">
        <w:rPr>
          <w:rFonts w:ascii="Arial" w:eastAsiaTheme="minorHAnsi" w:hAnsi="Arial" w:cs="Arial"/>
          <w:lang w:eastAsia="en-GB"/>
        </w:rPr>
        <w:t xml:space="preserve"> scheme. The terms of the lease/tenancy agreement will determine whether the service charges will be fixed or variable, depending on the tenure type.  New tenants will be informed of the services provided and the service standards they can expect.  Costs will be apportioned fairly across the relevant properties.</w:t>
      </w:r>
    </w:p>
    <w:p w14:paraId="548D5360" w14:textId="77777777" w:rsidR="000241DF" w:rsidRPr="000241DF" w:rsidRDefault="000241DF" w:rsidP="000241DF">
      <w:pPr>
        <w:spacing w:after="240" w:line="259" w:lineRule="auto"/>
        <w:ind w:left="0"/>
        <w:rPr>
          <w:rFonts w:ascii="Arial" w:eastAsiaTheme="minorHAnsi" w:hAnsi="Arial" w:cs="Arial"/>
          <w:sz w:val="24"/>
          <w:szCs w:val="24"/>
          <w:lang w:eastAsia="en-GB"/>
        </w:rPr>
      </w:pPr>
      <w:r w:rsidRPr="000241DF">
        <w:rPr>
          <w:rFonts w:ascii="Arial" w:eastAsiaTheme="minorHAnsi" w:hAnsi="Arial" w:cs="Arial"/>
          <w:lang w:eastAsia="en-GB"/>
        </w:rPr>
        <w:t>Sinking funds will be collected where specified in the lease/tenancy agreement and held in accordance with regulations, they will be calculated using the sinking fund procedures and standard table of costs.  Where necessary, funds will be allocated and when necessary be available and utilised for major repairs and/or future replacement provision.</w:t>
      </w:r>
    </w:p>
    <w:p w14:paraId="4CC47579" w14:textId="77777777" w:rsidR="00C60C56" w:rsidRPr="00C60C56" w:rsidRDefault="00682E9D" w:rsidP="00C60C56">
      <w:pPr>
        <w:spacing w:after="0"/>
        <w:ind w:left="0"/>
        <w:jc w:val="left"/>
        <w:rPr>
          <w:rFonts w:ascii="Arial" w:eastAsiaTheme="minorHAnsi" w:hAnsi="Arial" w:cs="Arial"/>
          <w:b/>
          <w:bCs/>
        </w:rPr>
      </w:pPr>
      <w:r>
        <w:rPr>
          <w:rFonts w:ascii="Arial" w:eastAsiaTheme="minorHAnsi" w:hAnsi="Arial" w:cs="Arial"/>
          <w:b/>
          <w:bCs/>
        </w:rPr>
        <w:t xml:space="preserve">5.13 </w:t>
      </w:r>
      <w:r w:rsidR="00C60C56" w:rsidRPr="00C60C56">
        <w:rPr>
          <w:rFonts w:ascii="Arial" w:eastAsiaTheme="minorHAnsi" w:hAnsi="Arial" w:cs="Arial"/>
          <w:b/>
          <w:bCs/>
        </w:rPr>
        <w:t>Relationship to benefit entitlement</w:t>
      </w:r>
    </w:p>
    <w:p w14:paraId="27DB7681" w14:textId="77777777" w:rsidR="00C60C56" w:rsidRPr="00C60C56" w:rsidRDefault="00C60C56" w:rsidP="00C60C56">
      <w:pPr>
        <w:spacing w:after="0"/>
        <w:ind w:left="0"/>
        <w:jc w:val="left"/>
        <w:rPr>
          <w:rFonts w:ascii="Arial" w:eastAsiaTheme="minorHAnsi" w:hAnsi="Arial" w:cs="Arial"/>
          <w:b/>
          <w:bCs/>
        </w:rPr>
      </w:pPr>
    </w:p>
    <w:p w14:paraId="295DFAA5" w14:textId="77777777" w:rsidR="00C60C56" w:rsidRPr="00C60C56" w:rsidRDefault="00C60C56" w:rsidP="00C60C56">
      <w:pPr>
        <w:spacing w:after="0"/>
        <w:ind w:left="0"/>
        <w:rPr>
          <w:rFonts w:ascii="Arial" w:eastAsiaTheme="minorHAnsi" w:hAnsi="Arial" w:cs="Arial"/>
        </w:rPr>
      </w:pPr>
      <w:r w:rsidRPr="00C60C56">
        <w:rPr>
          <w:rFonts w:ascii="Arial" w:eastAsiaTheme="minorHAnsi" w:hAnsi="Arial" w:cs="Arial"/>
        </w:rPr>
        <w:t xml:space="preserve">Most services are eligible for Housing Benefit &amp; Universal Credit where there is a contractual obligation to provide the service for which the charge is paid.  All tenancy agreements will be explicit about obligations for the customer to pay for them.  </w:t>
      </w:r>
    </w:p>
    <w:p w14:paraId="1565663C" w14:textId="77777777" w:rsidR="00C60C56" w:rsidRPr="00C60C56" w:rsidRDefault="00C60C56" w:rsidP="00C60C56">
      <w:pPr>
        <w:spacing w:after="0"/>
        <w:ind w:left="0"/>
        <w:rPr>
          <w:rFonts w:ascii="Arial" w:eastAsiaTheme="minorHAnsi" w:hAnsi="Arial" w:cs="Arial"/>
        </w:rPr>
      </w:pPr>
    </w:p>
    <w:p w14:paraId="6E0FBA8D" w14:textId="77777777" w:rsidR="00C60C56" w:rsidRPr="00C60C56" w:rsidRDefault="00C60C56" w:rsidP="00C60C56">
      <w:pPr>
        <w:spacing w:after="0"/>
        <w:ind w:left="0"/>
        <w:rPr>
          <w:rFonts w:ascii="Arial" w:eastAsiaTheme="minorHAnsi" w:hAnsi="Arial" w:cs="Arial"/>
        </w:rPr>
      </w:pPr>
      <w:r w:rsidRPr="00C60C56">
        <w:rPr>
          <w:rFonts w:ascii="Arial" w:eastAsiaTheme="minorHAnsi" w:hAnsi="Arial" w:cs="Arial"/>
        </w:rPr>
        <w:t>The regulations relating to service charges can be divided into two categories: a legal definition of what is meant by a service charge, and broad definitions of the eligible service charge categories with some additional specific exclusion criteria:</w:t>
      </w:r>
    </w:p>
    <w:p w14:paraId="6C749A3F" w14:textId="77777777" w:rsidR="00C60C56" w:rsidRPr="00C60C56" w:rsidRDefault="00C60C56" w:rsidP="00C60C56">
      <w:pPr>
        <w:spacing w:after="0"/>
        <w:ind w:left="0"/>
        <w:rPr>
          <w:rFonts w:ascii="Arial" w:eastAsiaTheme="minorHAnsi" w:hAnsi="Arial" w:cs="Arial"/>
        </w:rPr>
      </w:pPr>
    </w:p>
    <w:p w14:paraId="504E59CC" w14:textId="77777777" w:rsidR="00C60C56" w:rsidRPr="00C60C56" w:rsidRDefault="00C60C56" w:rsidP="00C60C56">
      <w:pPr>
        <w:spacing w:after="0"/>
        <w:ind w:left="0"/>
        <w:rPr>
          <w:rFonts w:ascii="Arial" w:eastAsiaTheme="minorHAnsi" w:hAnsi="Arial" w:cs="Arial"/>
        </w:rPr>
      </w:pPr>
      <w:r w:rsidRPr="00C60C56">
        <w:rPr>
          <w:rFonts w:ascii="Arial" w:eastAsiaTheme="minorHAnsi" w:hAnsi="Arial" w:cs="Arial"/>
        </w:rPr>
        <w:t>There are four conditions for eligible service charge payments:</w:t>
      </w:r>
    </w:p>
    <w:p w14:paraId="68D7CB23" w14:textId="77777777" w:rsidR="00C60C56" w:rsidRPr="00C60C56" w:rsidRDefault="00C60C56" w:rsidP="00C60C56">
      <w:pPr>
        <w:spacing w:after="0"/>
        <w:ind w:left="0"/>
        <w:rPr>
          <w:rFonts w:ascii="Arial" w:eastAsiaTheme="minorHAnsi" w:hAnsi="Arial" w:cs="Arial"/>
        </w:rPr>
      </w:pPr>
    </w:p>
    <w:p w14:paraId="3998EA5D" w14:textId="77777777" w:rsidR="00C60C56" w:rsidRPr="00C60C56" w:rsidRDefault="00C60C56" w:rsidP="00C60C56">
      <w:pPr>
        <w:numPr>
          <w:ilvl w:val="0"/>
          <w:numId w:val="36"/>
        </w:numPr>
        <w:spacing w:after="0" w:line="259" w:lineRule="auto"/>
        <w:contextualSpacing/>
        <w:jc w:val="left"/>
        <w:rPr>
          <w:rFonts w:ascii="Arial" w:eastAsiaTheme="minorHAnsi" w:hAnsi="Arial" w:cs="Arial"/>
        </w:rPr>
      </w:pPr>
      <w:r w:rsidRPr="00C60C56">
        <w:rPr>
          <w:rFonts w:ascii="Arial" w:eastAsiaTheme="minorHAnsi" w:hAnsi="Arial" w:cs="Arial"/>
        </w:rPr>
        <w:t>The right to occupy the accommodation is dependent upon the tenant paying service charges, for example where it forms part of the tenancy agreement.</w:t>
      </w:r>
    </w:p>
    <w:p w14:paraId="3A63B3CC" w14:textId="77777777" w:rsidR="00C60C56" w:rsidRPr="00C60C56" w:rsidRDefault="00C60C56" w:rsidP="00C60C56">
      <w:pPr>
        <w:numPr>
          <w:ilvl w:val="0"/>
          <w:numId w:val="36"/>
        </w:numPr>
        <w:spacing w:after="0" w:line="259" w:lineRule="auto"/>
        <w:contextualSpacing/>
        <w:jc w:val="left"/>
        <w:rPr>
          <w:rFonts w:ascii="Arial" w:eastAsiaTheme="minorHAnsi" w:hAnsi="Arial" w:cs="Arial"/>
        </w:rPr>
      </w:pPr>
      <w:r w:rsidRPr="00C60C56">
        <w:rPr>
          <w:rFonts w:ascii="Arial" w:eastAsiaTheme="minorHAnsi" w:hAnsi="Arial" w:cs="Arial"/>
        </w:rPr>
        <w:t>The service charge wholly falls into one or more of the following categories:</w:t>
      </w:r>
    </w:p>
    <w:p w14:paraId="1DF573ED" w14:textId="77777777" w:rsidR="00C60C56" w:rsidRPr="00C60C56" w:rsidRDefault="00C60C56" w:rsidP="00C60C56">
      <w:pPr>
        <w:numPr>
          <w:ilvl w:val="0"/>
          <w:numId w:val="37"/>
        </w:numPr>
        <w:spacing w:after="0" w:line="259" w:lineRule="auto"/>
        <w:contextualSpacing/>
        <w:jc w:val="left"/>
        <w:rPr>
          <w:rFonts w:ascii="Arial" w:eastAsiaTheme="minorHAnsi" w:hAnsi="Arial" w:cs="Arial"/>
        </w:rPr>
      </w:pPr>
      <w:r w:rsidRPr="00C60C56">
        <w:rPr>
          <w:rFonts w:ascii="Arial" w:eastAsiaTheme="minorHAnsi" w:hAnsi="Arial" w:cs="Arial"/>
        </w:rPr>
        <w:t>Category A: Maintaining the general standard of the accommodation.</w:t>
      </w:r>
    </w:p>
    <w:p w14:paraId="6C6D0444" w14:textId="77777777" w:rsidR="00C60C56" w:rsidRPr="00C60C56" w:rsidRDefault="00C60C56" w:rsidP="00C60C56">
      <w:pPr>
        <w:numPr>
          <w:ilvl w:val="0"/>
          <w:numId w:val="37"/>
        </w:numPr>
        <w:spacing w:after="0" w:line="259" w:lineRule="auto"/>
        <w:contextualSpacing/>
        <w:jc w:val="left"/>
        <w:rPr>
          <w:rFonts w:ascii="Arial" w:eastAsiaTheme="minorHAnsi" w:hAnsi="Arial" w:cs="Arial"/>
        </w:rPr>
      </w:pPr>
      <w:r w:rsidRPr="00C60C56">
        <w:rPr>
          <w:rFonts w:ascii="Arial" w:eastAsiaTheme="minorHAnsi" w:hAnsi="Arial" w:cs="Arial"/>
        </w:rPr>
        <w:t>Category B: Areas of communal use</w:t>
      </w:r>
    </w:p>
    <w:p w14:paraId="2D49953F" w14:textId="77777777" w:rsidR="00C60C56" w:rsidRPr="00C60C56" w:rsidRDefault="00C60C56" w:rsidP="00C60C56">
      <w:pPr>
        <w:numPr>
          <w:ilvl w:val="0"/>
          <w:numId w:val="37"/>
        </w:numPr>
        <w:spacing w:after="0" w:line="259" w:lineRule="auto"/>
        <w:contextualSpacing/>
        <w:jc w:val="left"/>
        <w:rPr>
          <w:rFonts w:ascii="Arial" w:eastAsiaTheme="minorHAnsi" w:hAnsi="Arial" w:cs="Arial"/>
        </w:rPr>
      </w:pPr>
      <w:r w:rsidRPr="00C60C56">
        <w:rPr>
          <w:rFonts w:ascii="Arial" w:eastAsiaTheme="minorHAnsi" w:hAnsi="Arial" w:cs="Arial"/>
        </w:rPr>
        <w:t>Category C: Basic communal services</w:t>
      </w:r>
    </w:p>
    <w:p w14:paraId="7AEF6521" w14:textId="77777777" w:rsidR="00C60C56" w:rsidRPr="00C60C56" w:rsidRDefault="00C60C56" w:rsidP="00C60C56">
      <w:pPr>
        <w:numPr>
          <w:ilvl w:val="0"/>
          <w:numId w:val="37"/>
        </w:numPr>
        <w:spacing w:after="0" w:line="259" w:lineRule="auto"/>
        <w:contextualSpacing/>
        <w:jc w:val="left"/>
        <w:rPr>
          <w:rFonts w:ascii="Arial" w:eastAsiaTheme="minorHAnsi" w:hAnsi="Arial" w:cs="Arial"/>
        </w:rPr>
      </w:pPr>
      <w:r w:rsidRPr="00C60C56">
        <w:rPr>
          <w:rFonts w:ascii="Arial" w:eastAsiaTheme="minorHAnsi" w:hAnsi="Arial" w:cs="Arial"/>
        </w:rPr>
        <w:t>Category D: Tenant accommodation-specific charge</w:t>
      </w:r>
    </w:p>
    <w:p w14:paraId="4D079B9F" w14:textId="77777777" w:rsidR="00C60C56" w:rsidRPr="00C60C56" w:rsidRDefault="00C60C56" w:rsidP="00C60C56">
      <w:pPr>
        <w:numPr>
          <w:ilvl w:val="0"/>
          <w:numId w:val="36"/>
        </w:numPr>
        <w:spacing w:after="0" w:line="259" w:lineRule="auto"/>
        <w:contextualSpacing/>
        <w:jc w:val="left"/>
        <w:rPr>
          <w:rFonts w:ascii="Arial" w:eastAsiaTheme="minorHAnsi" w:hAnsi="Arial" w:cs="Arial"/>
        </w:rPr>
      </w:pPr>
      <w:r w:rsidRPr="00C60C56">
        <w:rPr>
          <w:rFonts w:ascii="Arial" w:eastAsiaTheme="minorHAnsi" w:hAnsi="Arial" w:cs="Arial"/>
        </w:rPr>
        <w:t>The costs or charges are reasonable and that they relate to such services as it is reasonable to provide.</w:t>
      </w:r>
    </w:p>
    <w:p w14:paraId="01A27167" w14:textId="77777777" w:rsidR="00AA1A72" w:rsidRDefault="00C60C56" w:rsidP="00AA1A72">
      <w:pPr>
        <w:numPr>
          <w:ilvl w:val="0"/>
          <w:numId w:val="36"/>
        </w:numPr>
        <w:spacing w:after="0" w:line="259" w:lineRule="auto"/>
        <w:contextualSpacing/>
        <w:jc w:val="left"/>
        <w:rPr>
          <w:rFonts w:ascii="Arial" w:eastAsiaTheme="minorHAnsi" w:hAnsi="Arial" w:cs="Arial"/>
        </w:rPr>
      </w:pPr>
      <w:r w:rsidRPr="00C60C56">
        <w:rPr>
          <w:rFonts w:ascii="Arial" w:eastAsiaTheme="minorHAnsi" w:hAnsi="Arial" w:cs="Arial"/>
        </w:rPr>
        <w:t>There are a number of exclusions, which include any charges for meals, medical expenses, and personal services of any description.</w:t>
      </w:r>
    </w:p>
    <w:p w14:paraId="51576CBA" w14:textId="77777777" w:rsidR="00AA1A72" w:rsidRDefault="00AA1A72" w:rsidP="00AA1A72">
      <w:pPr>
        <w:spacing w:after="0" w:line="259" w:lineRule="auto"/>
        <w:ind w:left="0"/>
        <w:contextualSpacing/>
        <w:jc w:val="left"/>
        <w:rPr>
          <w:rFonts w:ascii="Arial" w:eastAsiaTheme="minorHAnsi" w:hAnsi="Arial" w:cs="Arial"/>
        </w:rPr>
      </w:pPr>
    </w:p>
    <w:p w14:paraId="7A056F2E" w14:textId="4856953D" w:rsidR="00AA1A72" w:rsidRPr="00AA1A72" w:rsidRDefault="00AA1A72" w:rsidP="00AA1A72">
      <w:pPr>
        <w:spacing w:after="0" w:line="259" w:lineRule="auto"/>
        <w:ind w:left="0"/>
        <w:contextualSpacing/>
        <w:jc w:val="left"/>
        <w:rPr>
          <w:rFonts w:ascii="Arial" w:eastAsiaTheme="minorHAnsi" w:hAnsi="Arial" w:cs="Arial"/>
        </w:rPr>
      </w:pPr>
      <w:r w:rsidRPr="00AA1A72">
        <w:rPr>
          <w:rFonts w:ascii="Arial" w:eastAsiaTheme="minorHAnsi" w:hAnsi="Arial" w:cs="Arial"/>
        </w:rPr>
        <w:t>WCHG</w:t>
      </w:r>
      <w:r>
        <w:rPr>
          <w:rFonts w:ascii="Arial" w:eastAsiaTheme="minorHAnsi" w:hAnsi="Arial" w:cs="Arial"/>
        </w:rPr>
        <w:t xml:space="preserve"> will support residents with advice on applications for Housing Benefit and Universal Credit.</w:t>
      </w:r>
    </w:p>
    <w:p w14:paraId="291BD422" w14:textId="4AA54B1C" w:rsidR="000241DF" w:rsidRDefault="000241DF" w:rsidP="00543236">
      <w:pPr>
        <w:ind w:left="0"/>
        <w:rPr>
          <w:rFonts w:ascii="Arial" w:hAnsi="Arial" w:cs="Arial"/>
        </w:rPr>
      </w:pPr>
    </w:p>
    <w:p w14:paraId="423F489D" w14:textId="77777777" w:rsidR="00AA1A72" w:rsidRDefault="00AA1A72" w:rsidP="00543236">
      <w:pPr>
        <w:ind w:left="0"/>
        <w:rPr>
          <w:rFonts w:ascii="Arial" w:hAnsi="Arial" w:cs="Arial"/>
        </w:rPr>
      </w:pPr>
    </w:p>
    <w:p w14:paraId="2BA5E2DC" w14:textId="46251256" w:rsidR="00F324D2" w:rsidRPr="00682E9D" w:rsidRDefault="00F324D2" w:rsidP="00543236">
      <w:pPr>
        <w:ind w:left="0"/>
        <w:rPr>
          <w:rFonts w:ascii="Arial" w:hAnsi="Arial" w:cs="Arial"/>
          <w:b/>
        </w:rPr>
      </w:pPr>
      <w:r w:rsidRPr="00682E9D">
        <w:rPr>
          <w:rFonts w:ascii="Arial" w:hAnsi="Arial" w:cs="Arial"/>
          <w:b/>
        </w:rPr>
        <w:lastRenderedPageBreak/>
        <w:t xml:space="preserve">6.0 </w:t>
      </w:r>
      <w:r w:rsidR="006840A2">
        <w:rPr>
          <w:rFonts w:ascii="Arial" w:hAnsi="Arial" w:cs="Arial"/>
          <w:b/>
        </w:rPr>
        <w:t xml:space="preserve">Resident </w:t>
      </w:r>
      <w:r w:rsidRPr="00682E9D">
        <w:rPr>
          <w:rFonts w:ascii="Arial" w:hAnsi="Arial" w:cs="Arial"/>
          <w:b/>
        </w:rPr>
        <w:t>Consultation and Engagement</w:t>
      </w:r>
    </w:p>
    <w:p w14:paraId="15FCE8D7" w14:textId="7582556B" w:rsidR="00682E9D" w:rsidRPr="00682E9D" w:rsidRDefault="00682E9D" w:rsidP="00682E9D">
      <w:pPr>
        <w:spacing w:after="0" w:line="259" w:lineRule="auto"/>
        <w:ind w:left="0"/>
        <w:rPr>
          <w:rFonts w:ascii="Arial" w:eastAsiaTheme="minorHAnsi" w:hAnsi="Arial" w:cs="Arial"/>
        </w:rPr>
      </w:pPr>
      <w:r>
        <w:rPr>
          <w:rFonts w:ascii="Arial" w:eastAsiaTheme="minorHAnsi" w:hAnsi="Arial" w:cs="Arial"/>
        </w:rPr>
        <w:t>WCHG</w:t>
      </w:r>
      <w:r w:rsidRPr="00682E9D">
        <w:rPr>
          <w:rFonts w:ascii="Arial" w:eastAsiaTheme="minorHAnsi" w:hAnsi="Arial" w:cs="Arial"/>
        </w:rPr>
        <w:t xml:space="preserve"> are committed to ensuring that all its customers who pay service charges have the</w:t>
      </w:r>
      <w:r>
        <w:rPr>
          <w:rFonts w:ascii="Arial" w:eastAsiaTheme="minorHAnsi" w:hAnsi="Arial" w:cs="Arial"/>
        </w:rPr>
        <w:t xml:space="preserve"> </w:t>
      </w:r>
      <w:r w:rsidRPr="00682E9D">
        <w:rPr>
          <w:rFonts w:ascii="Arial" w:eastAsiaTheme="minorHAnsi" w:hAnsi="Arial" w:cs="Arial"/>
        </w:rPr>
        <w:t xml:space="preserve">opportunity for on-going involvement in deciding the type and extent of services, subject to </w:t>
      </w:r>
      <w:proofErr w:type="spellStart"/>
      <w:r w:rsidR="00937170">
        <w:rPr>
          <w:rFonts w:ascii="Arial" w:eastAsiaTheme="minorHAnsi" w:hAnsi="Arial" w:cs="Arial"/>
        </w:rPr>
        <w:t>contractural</w:t>
      </w:r>
      <w:proofErr w:type="spellEnd"/>
      <w:r w:rsidR="00937170">
        <w:rPr>
          <w:rFonts w:ascii="Arial" w:eastAsiaTheme="minorHAnsi" w:hAnsi="Arial" w:cs="Arial"/>
        </w:rPr>
        <w:t xml:space="preserve">, regulatory </w:t>
      </w:r>
      <w:r w:rsidRPr="00682E9D">
        <w:rPr>
          <w:rFonts w:ascii="Arial" w:eastAsiaTheme="minorHAnsi" w:hAnsi="Arial" w:cs="Arial"/>
        </w:rPr>
        <w:t>and legal requirements. We will ensure our customers have a minimum of four</w:t>
      </w:r>
      <w:r>
        <w:rPr>
          <w:rFonts w:ascii="Arial" w:eastAsiaTheme="minorHAnsi" w:hAnsi="Arial" w:cs="Arial"/>
        </w:rPr>
        <w:t xml:space="preserve"> </w:t>
      </w:r>
      <w:r w:rsidRPr="00682E9D">
        <w:rPr>
          <w:rFonts w:ascii="Arial" w:eastAsiaTheme="minorHAnsi" w:hAnsi="Arial" w:cs="Arial"/>
        </w:rPr>
        <w:t>weeks notification/consultation period prior to changes in services</w:t>
      </w:r>
      <w:r w:rsidR="00937170">
        <w:rPr>
          <w:rFonts w:ascii="Arial" w:eastAsiaTheme="minorHAnsi" w:hAnsi="Arial" w:cs="Arial"/>
        </w:rPr>
        <w:t xml:space="preserve"> but we will endeavour to communicate as soon as we our aware of possible changes.</w:t>
      </w:r>
    </w:p>
    <w:p w14:paraId="227D4E8F" w14:textId="77777777" w:rsidR="00682E9D" w:rsidRPr="00682E9D" w:rsidRDefault="00682E9D" w:rsidP="00682E9D">
      <w:pPr>
        <w:spacing w:after="0" w:line="259" w:lineRule="auto"/>
        <w:ind w:left="66" w:hanging="66"/>
        <w:rPr>
          <w:rFonts w:ascii="Arial" w:eastAsiaTheme="minorHAnsi" w:hAnsi="Arial" w:cs="Arial"/>
        </w:rPr>
      </w:pPr>
    </w:p>
    <w:p w14:paraId="3C3B7E3E" w14:textId="77777777" w:rsidR="00682E9D" w:rsidRPr="00682E9D" w:rsidRDefault="00682E9D" w:rsidP="00682E9D">
      <w:pPr>
        <w:spacing w:after="0" w:line="259" w:lineRule="auto"/>
        <w:ind w:left="0"/>
        <w:rPr>
          <w:rFonts w:ascii="Arial" w:eastAsiaTheme="minorHAnsi" w:hAnsi="Arial" w:cs="Arial"/>
        </w:rPr>
      </w:pPr>
      <w:r>
        <w:rPr>
          <w:rFonts w:ascii="Arial" w:eastAsiaTheme="minorHAnsi" w:hAnsi="Arial" w:cs="Arial"/>
        </w:rPr>
        <w:t>WCHG</w:t>
      </w:r>
      <w:r w:rsidRPr="00682E9D">
        <w:rPr>
          <w:rFonts w:ascii="Arial" w:eastAsiaTheme="minorHAnsi" w:hAnsi="Arial" w:cs="Arial"/>
        </w:rPr>
        <w:t xml:space="preserve"> will consult and inform customers in line with statutory requirements as and when required in the specified processes.  A notable process where consultation is required is when Section 20 for work to be completed.  Section 20 of the Landlord and Tenants Act 1985 will be adhered to.</w:t>
      </w:r>
    </w:p>
    <w:p w14:paraId="5166F680" w14:textId="77777777" w:rsidR="00682E9D" w:rsidRPr="00682E9D" w:rsidRDefault="00682E9D" w:rsidP="00682E9D">
      <w:pPr>
        <w:spacing w:after="0" w:line="259" w:lineRule="auto"/>
        <w:ind w:left="0"/>
        <w:rPr>
          <w:rFonts w:ascii="Arial" w:eastAsiaTheme="minorHAnsi" w:hAnsi="Arial" w:cs="Arial"/>
        </w:rPr>
      </w:pPr>
    </w:p>
    <w:p w14:paraId="760B6E81" w14:textId="2E053B04" w:rsidR="00682E9D" w:rsidRPr="00682E9D" w:rsidRDefault="00682E9D" w:rsidP="00682E9D">
      <w:pPr>
        <w:spacing w:after="0" w:line="259" w:lineRule="auto"/>
        <w:ind w:left="0"/>
        <w:rPr>
          <w:rFonts w:ascii="Arial" w:eastAsiaTheme="minorHAnsi" w:hAnsi="Arial" w:cs="Arial"/>
        </w:rPr>
      </w:pPr>
      <w:r w:rsidRPr="00682E9D">
        <w:rPr>
          <w:rFonts w:ascii="Arial" w:eastAsiaTheme="minorHAnsi" w:hAnsi="Arial" w:cs="Arial"/>
        </w:rPr>
        <w:t xml:space="preserve">Wherever possible, </w:t>
      </w:r>
      <w:r>
        <w:rPr>
          <w:rFonts w:ascii="Arial" w:eastAsiaTheme="minorHAnsi" w:hAnsi="Arial" w:cs="Arial"/>
        </w:rPr>
        <w:t>WCHG</w:t>
      </w:r>
      <w:r w:rsidRPr="00682E9D">
        <w:rPr>
          <w:rFonts w:ascii="Arial" w:eastAsiaTheme="minorHAnsi" w:hAnsi="Arial" w:cs="Arial"/>
        </w:rPr>
        <w:t xml:space="preserve"> will involve customers in assessing value for money</w:t>
      </w:r>
      <w:r w:rsidR="00064A13">
        <w:rPr>
          <w:rFonts w:ascii="Arial" w:eastAsiaTheme="minorHAnsi" w:hAnsi="Arial" w:cs="Arial"/>
        </w:rPr>
        <w:t>, selecting contractors</w:t>
      </w:r>
      <w:r w:rsidRPr="00682E9D">
        <w:rPr>
          <w:rFonts w:ascii="Arial" w:eastAsiaTheme="minorHAnsi" w:hAnsi="Arial" w:cs="Arial"/>
        </w:rPr>
        <w:t xml:space="preserve"> and will assist them in making informed judgements.</w:t>
      </w:r>
    </w:p>
    <w:p w14:paraId="2F9B3B2F" w14:textId="77777777" w:rsidR="00CC67AA" w:rsidRDefault="00CC67AA" w:rsidP="00682E9D">
      <w:pPr>
        <w:spacing w:after="0" w:line="259" w:lineRule="auto"/>
        <w:ind w:left="0"/>
        <w:rPr>
          <w:rFonts w:ascii="Arial" w:eastAsiaTheme="minorHAnsi" w:hAnsi="Arial" w:cs="Arial"/>
          <w:b/>
          <w:bCs/>
        </w:rPr>
      </w:pPr>
    </w:p>
    <w:p w14:paraId="713A3856" w14:textId="77777777" w:rsidR="00682E9D" w:rsidRPr="00682E9D" w:rsidRDefault="00682E9D" w:rsidP="00682E9D">
      <w:pPr>
        <w:spacing w:after="0" w:line="259" w:lineRule="auto"/>
        <w:ind w:left="0"/>
        <w:rPr>
          <w:rFonts w:ascii="Arial" w:eastAsiaTheme="minorHAnsi" w:hAnsi="Arial" w:cs="Arial"/>
          <w:b/>
          <w:bCs/>
        </w:rPr>
      </w:pPr>
      <w:r>
        <w:rPr>
          <w:rFonts w:ascii="Arial" w:eastAsiaTheme="minorHAnsi" w:hAnsi="Arial" w:cs="Arial"/>
          <w:b/>
          <w:bCs/>
        </w:rPr>
        <w:t xml:space="preserve">6.1 </w:t>
      </w:r>
      <w:r w:rsidRPr="00682E9D">
        <w:rPr>
          <w:rFonts w:ascii="Arial" w:eastAsiaTheme="minorHAnsi" w:hAnsi="Arial" w:cs="Arial"/>
          <w:b/>
          <w:bCs/>
        </w:rPr>
        <w:t>Complaints</w:t>
      </w:r>
    </w:p>
    <w:p w14:paraId="61903945" w14:textId="77777777" w:rsidR="00682E9D" w:rsidRPr="00682E9D" w:rsidRDefault="00682E9D" w:rsidP="00682E9D">
      <w:pPr>
        <w:spacing w:after="0" w:line="259" w:lineRule="auto"/>
        <w:ind w:left="0"/>
        <w:rPr>
          <w:rFonts w:ascii="Arial" w:eastAsiaTheme="minorHAnsi" w:hAnsi="Arial" w:cs="Arial"/>
          <w:b/>
          <w:bCs/>
        </w:rPr>
      </w:pPr>
    </w:p>
    <w:p w14:paraId="74F1F9FC" w14:textId="0CD6E676" w:rsidR="00682E9D" w:rsidRPr="00682E9D" w:rsidRDefault="00682E9D" w:rsidP="00682E9D">
      <w:pPr>
        <w:spacing w:after="0"/>
        <w:ind w:left="0"/>
        <w:rPr>
          <w:rFonts w:ascii="Arial" w:eastAsiaTheme="minorHAnsi" w:hAnsi="Arial" w:cs="Arial"/>
        </w:rPr>
      </w:pPr>
      <w:r w:rsidRPr="00682E9D">
        <w:rPr>
          <w:rFonts w:ascii="Arial" w:eastAsiaTheme="minorHAnsi" w:hAnsi="Arial" w:cs="Arial"/>
        </w:rPr>
        <w:t xml:space="preserve">Customers may make </w:t>
      </w:r>
      <w:r w:rsidR="00E43309">
        <w:rPr>
          <w:rFonts w:ascii="Arial" w:eastAsiaTheme="minorHAnsi" w:hAnsi="Arial" w:cs="Arial"/>
        </w:rPr>
        <w:t xml:space="preserve">service requests, </w:t>
      </w:r>
      <w:r w:rsidRPr="00682E9D">
        <w:rPr>
          <w:rFonts w:ascii="Arial" w:eastAsiaTheme="minorHAnsi" w:hAnsi="Arial" w:cs="Arial"/>
        </w:rPr>
        <w:t xml:space="preserve">comments or complaints about any aspects of services by the Group.  All </w:t>
      </w:r>
      <w:r w:rsidR="00E43309">
        <w:rPr>
          <w:rFonts w:ascii="Arial" w:eastAsiaTheme="minorHAnsi" w:hAnsi="Arial" w:cs="Arial"/>
        </w:rPr>
        <w:t xml:space="preserve">service requests, </w:t>
      </w:r>
      <w:r w:rsidRPr="00682E9D">
        <w:rPr>
          <w:rFonts w:ascii="Arial" w:eastAsiaTheme="minorHAnsi" w:hAnsi="Arial" w:cs="Arial"/>
        </w:rPr>
        <w:t>comments and complaints will be responded to in line with our Complaints Policy.</w:t>
      </w:r>
    </w:p>
    <w:p w14:paraId="0210244C" w14:textId="77777777" w:rsidR="00682E9D" w:rsidRPr="00682E9D" w:rsidRDefault="00682E9D" w:rsidP="00682E9D">
      <w:pPr>
        <w:spacing w:after="0"/>
        <w:ind w:left="0"/>
        <w:rPr>
          <w:rFonts w:ascii="Arial" w:eastAsiaTheme="minorHAnsi" w:hAnsi="Arial" w:cs="Arial"/>
        </w:rPr>
      </w:pPr>
    </w:p>
    <w:p w14:paraId="404D32E1" w14:textId="77777777" w:rsidR="00976293" w:rsidRPr="00ED616A" w:rsidRDefault="00682E9D" w:rsidP="00682E9D">
      <w:pPr>
        <w:spacing w:after="0"/>
        <w:ind w:left="0"/>
        <w:rPr>
          <w:rFonts w:ascii="Arial" w:hAnsi="Arial" w:cs="Arial"/>
          <w:b/>
        </w:rPr>
      </w:pPr>
      <w:r>
        <w:rPr>
          <w:rFonts w:ascii="Arial" w:hAnsi="Arial" w:cs="Arial"/>
          <w:b/>
        </w:rPr>
        <w:t>7</w:t>
      </w:r>
      <w:r w:rsidR="00976293" w:rsidRPr="00ED616A">
        <w:rPr>
          <w:rFonts w:ascii="Arial" w:hAnsi="Arial" w:cs="Arial"/>
          <w:b/>
        </w:rPr>
        <w:t>.0 Roles and Responsibilities</w:t>
      </w:r>
    </w:p>
    <w:p w14:paraId="6CA5AF37" w14:textId="77777777" w:rsidR="00976293" w:rsidRPr="00ED616A" w:rsidRDefault="00976293" w:rsidP="00682E9D">
      <w:pPr>
        <w:spacing w:after="0"/>
        <w:ind w:left="142"/>
        <w:rPr>
          <w:rFonts w:ascii="Arial" w:hAnsi="Arial" w:cs="Arial"/>
        </w:rPr>
      </w:pPr>
    </w:p>
    <w:p w14:paraId="2B3FBAC8" w14:textId="77777777" w:rsidR="00976293" w:rsidRPr="00ED616A" w:rsidRDefault="00976293" w:rsidP="00682E9D">
      <w:pPr>
        <w:spacing w:after="0"/>
        <w:ind w:left="0"/>
        <w:rPr>
          <w:rFonts w:ascii="Arial" w:hAnsi="Arial" w:cs="Arial"/>
        </w:rPr>
      </w:pPr>
      <w:r w:rsidRPr="00ED616A">
        <w:rPr>
          <w:rFonts w:ascii="Arial" w:hAnsi="Arial" w:cs="Arial"/>
        </w:rPr>
        <w:t>The Executive Director of Finance is responsible to the Chief Executive and the Board for ensuring the implementation of this policy.</w:t>
      </w:r>
    </w:p>
    <w:p w14:paraId="46ED506A" w14:textId="77777777" w:rsidR="00976293" w:rsidRPr="00ED616A" w:rsidRDefault="00976293" w:rsidP="00682E9D">
      <w:pPr>
        <w:spacing w:after="0"/>
        <w:ind w:left="142"/>
        <w:rPr>
          <w:rFonts w:ascii="Arial" w:hAnsi="Arial" w:cs="Arial"/>
        </w:rPr>
      </w:pPr>
    </w:p>
    <w:p w14:paraId="1932D078" w14:textId="28605E83" w:rsidR="00976293" w:rsidRPr="00ED616A" w:rsidRDefault="00976293" w:rsidP="00682E9D">
      <w:pPr>
        <w:spacing w:after="0"/>
        <w:ind w:left="0"/>
        <w:rPr>
          <w:rFonts w:ascii="Arial" w:hAnsi="Arial" w:cs="Arial"/>
        </w:rPr>
      </w:pPr>
      <w:r w:rsidRPr="00ED616A">
        <w:rPr>
          <w:rFonts w:ascii="Arial" w:hAnsi="Arial" w:cs="Arial"/>
        </w:rPr>
        <w:t xml:space="preserve">The Board will approve the </w:t>
      </w:r>
      <w:r w:rsidR="002B57A0">
        <w:rPr>
          <w:rFonts w:ascii="Arial" w:hAnsi="Arial" w:cs="Arial"/>
        </w:rPr>
        <w:t xml:space="preserve">service charge policy, </w:t>
      </w:r>
      <w:r w:rsidRPr="00ED616A">
        <w:rPr>
          <w:rFonts w:ascii="Arial" w:hAnsi="Arial" w:cs="Arial"/>
        </w:rPr>
        <w:t>annual rent</w:t>
      </w:r>
      <w:r w:rsidR="00710884">
        <w:rPr>
          <w:rFonts w:ascii="Arial" w:hAnsi="Arial" w:cs="Arial"/>
        </w:rPr>
        <w:t xml:space="preserve"> and service charge</w:t>
      </w:r>
      <w:r w:rsidRPr="00ED616A">
        <w:rPr>
          <w:rFonts w:ascii="Arial" w:hAnsi="Arial" w:cs="Arial"/>
        </w:rPr>
        <w:t xml:space="preserve"> increase, and can agree any exemptions to increases in both the rent and service charges based on market conditions or specific circumstances.</w:t>
      </w:r>
    </w:p>
    <w:p w14:paraId="4D745CE4" w14:textId="77777777" w:rsidR="00682E9D" w:rsidRPr="00ED616A" w:rsidRDefault="00682E9D" w:rsidP="00682E9D">
      <w:pPr>
        <w:spacing w:after="0"/>
        <w:ind w:left="142"/>
        <w:rPr>
          <w:rFonts w:ascii="Arial" w:hAnsi="Arial" w:cs="Arial"/>
        </w:rPr>
      </w:pPr>
    </w:p>
    <w:p w14:paraId="041C73BE" w14:textId="77777777" w:rsidR="00682E9D" w:rsidRPr="00A9381E" w:rsidRDefault="00682E9D" w:rsidP="00682E9D">
      <w:pPr>
        <w:ind w:left="0"/>
        <w:rPr>
          <w:rFonts w:ascii="Arial" w:hAnsi="Arial" w:cs="Arial"/>
          <w:b/>
        </w:rPr>
      </w:pPr>
      <w:r w:rsidRPr="00A9381E">
        <w:rPr>
          <w:rFonts w:ascii="Arial" w:hAnsi="Arial" w:cs="Arial"/>
          <w:b/>
        </w:rPr>
        <w:t>8.0 Value for Money</w:t>
      </w:r>
    </w:p>
    <w:p w14:paraId="5290FC7D" w14:textId="77777777" w:rsidR="00682E9D" w:rsidRPr="00682E9D" w:rsidRDefault="00682E9D" w:rsidP="00682E9D">
      <w:pPr>
        <w:spacing w:after="0" w:line="259" w:lineRule="auto"/>
        <w:ind w:left="0"/>
        <w:rPr>
          <w:rFonts w:ascii="Arial" w:eastAsiaTheme="minorHAnsi" w:hAnsi="Arial" w:cs="Arial"/>
        </w:rPr>
      </w:pPr>
      <w:r w:rsidRPr="00A9381E">
        <w:rPr>
          <w:rFonts w:ascii="Arial" w:eastAsiaTheme="minorHAnsi" w:hAnsi="Arial" w:cs="Arial"/>
        </w:rPr>
        <w:t>WCHG</w:t>
      </w:r>
      <w:r w:rsidRPr="00682E9D">
        <w:rPr>
          <w:rFonts w:ascii="Arial" w:eastAsiaTheme="minorHAnsi" w:hAnsi="Arial" w:cs="Arial"/>
          <w:b/>
          <w:bCs/>
        </w:rPr>
        <w:t xml:space="preserve"> </w:t>
      </w:r>
      <w:r w:rsidRPr="00682E9D">
        <w:rPr>
          <w:rFonts w:ascii="Arial" w:eastAsiaTheme="minorHAnsi" w:hAnsi="Arial" w:cs="Arial"/>
        </w:rPr>
        <w:t>will aim to deliver value for money to customers in the provision of services.  This will be achieved by:</w:t>
      </w:r>
    </w:p>
    <w:p w14:paraId="1F3337A8" w14:textId="77777777" w:rsidR="00682E9D" w:rsidRPr="00682E9D" w:rsidRDefault="00682E9D" w:rsidP="00682E9D">
      <w:pPr>
        <w:spacing w:after="0" w:line="259" w:lineRule="auto"/>
        <w:ind w:left="0"/>
        <w:rPr>
          <w:rFonts w:ascii="Arial" w:eastAsiaTheme="minorHAnsi" w:hAnsi="Arial" w:cs="Arial"/>
        </w:rPr>
      </w:pPr>
    </w:p>
    <w:p w14:paraId="0AEADF42" w14:textId="77777777" w:rsidR="00682E9D" w:rsidRPr="00682E9D" w:rsidRDefault="00682E9D" w:rsidP="00682E9D">
      <w:pPr>
        <w:numPr>
          <w:ilvl w:val="0"/>
          <w:numId w:val="38"/>
        </w:numPr>
        <w:spacing w:after="0" w:line="259" w:lineRule="auto"/>
        <w:contextualSpacing/>
        <w:jc w:val="left"/>
        <w:rPr>
          <w:rFonts w:ascii="Arial" w:eastAsiaTheme="minorHAnsi" w:hAnsi="Arial" w:cs="Arial"/>
        </w:rPr>
      </w:pPr>
      <w:r w:rsidRPr="00682E9D">
        <w:rPr>
          <w:rFonts w:ascii="Arial" w:eastAsiaTheme="minorHAnsi" w:hAnsi="Arial" w:cs="Arial"/>
        </w:rPr>
        <w:t>Creating the lowest overall service charge by selecting facilities appropriate to the type of new development.</w:t>
      </w:r>
    </w:p>
    <w:p w14:paraId="6F83956E" w14:textId="77777777" w:rsidR="00682E9D" w:rsidRPr="00682E9D" w:rsidRDefault="00682E9D" w:rsidP="00682E9D">
      <w:pPr>
        <w:numPr>
          <w:ilvl w:val="0"/>
          <w:numId w:val="38"/>
        </w:numPr>
        <w:spacing w:after="0" w:line="259" w:lineRule="auto"/>
        <w:contextualSpacing/>
        <w:jc w:val="left"/>
        <w:rPr>
          <w:rFonts w:ascii="Arial" w:eastAsiaTheme="minorHAnsi" w:hAnsi="Arial" w:cs="Arial"/>
        </w:rPr>
      </w:pPr>
      <w:r w:rsidRPr="00682E9D">
        <w:rPr>
          <w:rFonts w:ascii="Arial" w:eastAsiaTheme="minorHAnsi" w:hAnsi="Arial" w:cs="Arial"/>
        </w:rPr>
        <w:t>Reviewing all service contracts on a regular basis to ensure that service levels are maintained which is cost effective and affordable to customers.</w:t>
      </w:r>
    </w:p>
    <w:p w14:paraId="26088E7B" w14:textId="303792DC" w:rsidR="00682E9D" w:rsidRDefault="00682E9D" w:rsidP="00682E9D">
      <w:pPr>
        <w:numPr>
          <w:ilvl w:val="0"/>
          <w:numId w:val="38"/>
        </w:numPr>
        <w:spacing w:after="0" w:line="259" w:lineRule="auto"/>
        <w:contextualSpacing/>
        <w:jc w:val="left"/>
        <w:rPr>
          <w:rFonts w:ascii="Arial" w:eastAsiaTheme="minorHAnsi" w:hAnsi="Arial" w:cs="Arial"/>
        </w:rPr>
      </w:pPr>
      <w:r w:rsidRPr="00682E9D">
        <w:rPr>
          <w:rFonts w:ascii="Arial" w:eastAsiaTheme="minorHAnsi" w:hAnsi="Arial" w:cs="Arial"/>
        </w:rPr>
        <w:t>Maintain</w:t>
      </w:r>
      <w:r w:rsidR="00710884">
        <w:rPr>
          <w:rFonts w:ascii="Arial" w:eastAsiaTheme="minorHAnsi" w:hAnsi="Arial" w:cs="Arial"/>
        </w:rPr>
        <w:t>ing</w:t>
      </w:r>
      <w:r w:rsidRPr="00682E9D">
        <w:rPr>
          <w:rFonts w:ascii="Arial" w:eastAsiaTheme="minorHAnsi" w:hAnsi="Arial" w:cs="Arial"/>
        </w:rPr>
        <w:t xml:space="preserve"> accurate records and accurate budgeting for property, customers, and costs to ensure costs are fair and transparent.</w:t>
      </w:r>
    </w:p>
    <w:p w14:paraId="5F09BC84" w14:textId="3B91E48C" w:rsidR="0007118B" w:rsidRPr="00682E9D" w:rsidRDefault="0007118B" w:rsidP="00682E9D">
      <w:pPr>
        <w:numPr>
          <w:ilvl w:val="0"/>
          <w:numId w:val="38"/>
        </w:numPr>
        <w:spacing w:after="0" w:line="259" w:lineRule="auto"/>
        <w:contextualSpacing/>
        <w:jc w:val="left"/>
        <w:rPr>
          <w:rFonts w:ascii="Arial" w:eastAsiaTheme="minorHAnsi" w:hAnsi="Arial" w:cs="Arial"/>
        </w:rPr>
      </w:pPr>
      <w:r>
        <w:rPr>
          <w:rFonts w:ascii="Arial" w:eastAsiaTheme="minorHAnsi" w:hAnsi="Arial" w:cs="Arial"/>
        </w:rPr>
        <w:t>Involving residents in the procurement</w:t>
      </w:r>
      <w:r w:rsidR="00DB1E62">
        <w:rPr>
          <w:rFonts w:ascii="Arial" w:eastAsiaTheme="minorHAnsi" w:hAnsi="Arial" w:cs="Arial"/>
        </w:rPr>
        <w:t>, determi</w:t>
      </w:r>
      <w:r w:rsidR="00F047D8">
        <w:rPr>
          <w:rFonts w:ascii="Arial" w:eastAsiaTheme="minorHAnsi" w:hAnsi="Arial" w:cs="Arial"/>
        </w:rPr>
        <w:t>ni</w:t>
      </w:r>
      <w:r w:rsidR="00DB1E62">
        <w:rPr>
          <w:rFonts w:ascii="Arial" w:eastAsiaTheme="minorHAnsi" w:hAnsi="Arial" w:cs="Arial"/>
        </w:rPr>
        <w:t>ng of the level of service required</w:t>
      </w:r>
      <w:r>
        <w:rPr>
          <w:rFonts w:ascii="Arial" w:eastAsiaTheme="minorHAnsi" w:hAnsi="Arial" w:cs="Arial"/>
        </w:rPr>
        <w:t xml:space="preserve"> and monitoring of services that result in a service charge being levied</w:t>
      </w:r>
    </w:p>
    <w:p w14:paraId="314EBF5B" w14:textId="77777777" w:rsidR="00CC67AA" w:rsidRDefault="00CC67AA" w:rsidP="00245A9E">
      <w:pPr>
        <w:ind w:left="0"/>
        <w:rPr>
          <w:rFonts w:ascii="Arial" w:hAnsi="Arial" w:cs="Arial"/>
          <w:b/>
        </w:rPr>
      </w:pPr>
    </w:p>
    <w:p w14:paraId="350FC227" w14:textId="77777777" w:rsidR="00976293" w:rsidRPr="00ED616A" w:rsidRDefault="00245A9E" w:rsidP="00245A9E">
      <w:pPr>
        <w:ind w:left="0"/>
        <w:rPr>
          <w:rFonts w:ascii="Arial" w:hAnsi="Arial" w:cs="Arial"/>
          <w:b/>
        </w:rPr>
      </w:pPr>
      <w:r>
        <w:rPr>
          <w:rFonts w:ascii="Arial" w:hAnsi="Arial" w:cs="Arial"/>
          <w:b/>
        </w:rPr>
        <w:t>9</w:t>
      </w:r>
      <w:r w:rsidR="00976293" w:rsidRPr="00ED616A">
        <w:rPr>
          <w:rFonts w:ascii="Arial" w:hAnsi="Arial" w:cs="Arial"/>
          <w:b/>
        </w:rPr>
        <w:t>.0 Monitoring Policy effectiveness</w:t>
      </w:r>
    </w:p>
    <w:p w14:paraId="38981F92" w14:textId="77777777" w:rsidR="00976293" w:rsidRPr="00ED616A" w:rsidRDefault="00976293" w:rsidP="00245A9E">
      <w:pPr>
        <w:pStyle w:val="Header"/>
        <w:tabs>
          <w:tab w:val="clear" w:pos="4153"/>
          <w:tab w:val="clear" w:pos="8306"/>
        </w:tabs>
        <w:jc w:val="both"/>
        <w:rPr>
          <w:rFonts w:ascii="Arial" w:hAnsi="Arial" w:cs="Arial"/>
          <w:sz w:val="22"/>
          <w:szCs w:val="22"/>
        </w:rPr>
      </w:pPr>
      <w:r w:rsidRPr="00ED616A">
        <w:rPr>
          <w:rFonts w:ascii="Arial" w:hAnsi="Arial" w:cs="Arial"/>
          <w:sz w:val="22"/>
          <w:szCs w:val="22"/>
        </w:rPr>
        <w:t xml:space="preserve">The Group will monitor the effectiveness and review the implementation of this policy, regularly considering its suitability, adequacy and effectiveness. </w:t>
      </w:r>
    </w:p>
    <w:p w14:paraId="3EFFEFDE" w14:textId="77777777" w:rsidR="00976293" w:rsidRPr="00ED616A" w:rsidRDefault="00976293" w:rsidP="00245A9E">
      <w:pPr>
        <w:pStyle w:val="Header"/>
        <w:tabs>
          <w:tab w:val="clear" w:pos="4153"/>
          <w:tab w:val="clear" w:pos="8306"/>
        </w:tabs>
        <w:jc w:val="both"/>
        <w:rPr>
          <w:rFonts w:ascii="Arial" w:hAnsi="Arial" w:cs="Arial"/>
          <w:sz w:val="22"/>
          <w:szCs w:val="22"/>
        </w:rPr>
      </w:pPr>
    </w:p>
    <w:p w14:paraId="7BA1EA97" w14:textId="2413EC19" w:rsidR="00976293" w:rsidRPr="00ED616A" w:rsidRDefault="00976293" w:rsidP="00245A9E">
      <w:pPr>
        <w:pStyle w:val="Header"/>
        <w:tabs>
          <w:tab w:val="clear" w:pos="4153"/>
          <w:tab w:val="clear" w:pos="8306"/>
        </w:tabs>
        <w:jc w:val="both"/>
        <w:rPr>
          <w:rFonts w:ascii="Arial" w:hAnsi="Arial" w:cs="Arial"/>
          <w:sz w:val="22"/>
          <w:szCs w:val="22"/>
        </w:rPr>
      </w:pPr>
      <w:r w:rsidRPr="00ED616A">
        <w:rPr>
          <w:rFonts w:ascii="Arial" w:hAnsi="Arial" w:cs="Arial"/>
          <w:sz w:val="22"/>
          <w:szCs w:val="22"/>
        </w:rPr>
        <w:t xml:space="preserve">This policy will be reviewed </w:t>
      </w:r>
      <w:r w:rsidR="00E773B9">
        <w:rPr>
          <w:rFonts w:ascii="Arial" w:hAnsi="Arial" w:cs="Arial"/>
          <w:sz w:val="22"/>
          <w:szCs w:val="22"/>
        </w:rPr>
        <w:t>every two years</w:t>
      </w:r>
      <w:r w:rsidRPr="00ED616A">
        <w:rPr>
          <w:rFonts w:ascii="Arial" w:hAnsi="Arial" w:cs="Arial"/>
          <w:sz w:val="22"/>
          <w:szCs w:val="22"/>
        </w:rPr>
        <w:t xml:space="preserve">. </w:t>
      </w:r>
    </w:p>
    <w:p w14:paraId="0DB1A5FC" w14:textId="77777777" w:rsidR="00976293" w:rsidRPr="00ED616A" w:rsidRDefault="00976293" w:rsidP="00245A9E">
      <w:pPr>
        <w:pStyle w:val="Header"/>
        <w:tabs>
          <w:tab w:val="clear" w:pos="4153"/>
          <w:tab w:val="clear" w:pos="8306"/>
        </w:tabs>
        <w:jc w:val="both"/>
        <w:rPr>
          <w:rFonts w:ascii="Arial" w:hAnsi="Arial" w:cs="Arial"/>
        </w:rPr>
      </w:pPr>
    </w:p>
    <w:p w14:paraId="73396339" w14:textId="77777777" w:rsidR="00976293" w:rsidRPr="00ED616A" w:rsidRDefault="00245A9E" w:rsidP="00245A9E">
      <w:pPr>
        <w:ind w:left="0"/>
        <w:rPr>
          <w:rFonts w:ascii="Arial" w:hAnsi="Arial" w:cs="Arial"/>
          <w:b/>
        </w:rPr>
      </w:pPr>
      <w:r>
        <w:rPr>
          <w:rFonts w:ascii="Arial" w:hAnsi="Arial" w:cs="Arial"/>
          <w:b/>
        </w:rPr>
        <w:lastRenderedPageBreak/>
        <w:t>10</w:t>
      </w:r>
      <w:r w:rsidR="00976293" w:rsidRPr="00ED616A">
        <w:rPr>
          <w:rFonts w:ascii="Arial" w:hAnsi="Arial" w:cs="Arial"/>
          <w:b/>
        </w:rPr>
        <w:t>.0 Equality &amp; Diversity</w:t>
      </w:r>
    </w:p>
    <w:p w14:paraId="7BA08820" w14:textId="77777777" w:rsidR="00976293" w:rsidRPr="00ED616A" w:rsidRDefault="00976293" w:rsidP="00245A9E">
      <w:pPr>
        <w:spacing w:after="0"/>
        <w:ind w:left="0"/>
        <w:rPr>
          <w:rFonts w:ascii="Arial" w:hAnsi="Arial" w:cs="Arial"/>
        </w:rPr>
      </w:pPr>
      <w:r w:rsidRPr="00ED616A">
        <w:rPr>
          <w:rFonts w:ascii="Arial" w:hAnsi="Arial" w:cs="Arial"/>
        </w:rPr>
        <w:t xml:space="preserve">All associated individuals within WCHG have the responsibility to protect the interests of WCHG. The Single Equality Scheme works towards developing services, facilities and working practices, which are equally accessible and non-discriminatory for all associated individuals with WCHG. This is irrespective of their gender, age, race, sexuality, disability, religion, marital status/civil partnerships, pregnancy/maternity and economic status, and in line with the nine protected characteristics part of the new legislation under Equality Act 2010. </w:t>
      </w:r>
    </w:p>
    <w:p w14:paraId="58932EBB" w14:textId="77777777" w:rsidR="00976293" w:rsidRPr="00ED616A" w:rsidRDefault="00976293" w:rsidP="00245A9E">
      <w:pPr>
        <w:pStyle w:val="Header"/>
        <w:tabs>
          <w:tab w:val="clear" w:pos="4153"/>
          <w:tab w:val="clear" w:pos="8306"/>
        </w:tabs>
        <w:jc w:val="both"/>
        <w:rPr>
          <w:rFonts w:ascii="Arial" w:hAnsi="Arial" w:cs="Arial"/>
          <w:sz w:val="22"/>
          <w:szCs w:val="22"/>
        </w:rPr>
      </w:pPr>
    </w:p>
    <w:p w14:paraId="2174A68F" w14:textId="77777777" w:rsidR="00976293" w:rsidRPr="00ED616A" w:rsidRDefault="00976293" w:rsidP="00245A9E">
      <w:pPr>
        <w:spacing w:after="0"/>
        <w:ind w:left="0"/>
        <w:rPr>
          <w:rFonts w:ascii="Arial" w:hAnsi="Arial" w:cs="Arial"/>
        </w:rPr>
      </w:pPr>
      <w:r w:rsidRPr="00ED616A">
        <w:rPr>
          <w:rFonts w:ascii="Arial" w:hAnsi="Arial" w:cs="Arial"/>
        </w:rPr>
        <w:t xml:space="preserve">A key element of the Equality standards involves carrying out an Equality Impact Assessment on all existing and, in particular, new policies to ensure they </w:t>
      </w:r>
      <w:r w:rsidRPr="00ED616A">
        <w:rPr>
          <w:rFonts w:ascii="Arial" w:hAnsi="Arial" w:cs="Arial"/>
          <w:u w:val="single"/>
        </w:rPr>
        <w:t>do not</w:t>
      </w:r>
      <w:r w:rsidRPr="00ED616A">
        <w:rPr>
          <w:rFonts w:ascii="Arial" w:hAnsi="Arial" w:cs="Arial"/>
        </w:rPr>
        <w:t xml:space="preserve"> have an adverse impact or promote any form of discrimination to particular groups or associated protected characteristics. An Equality Impact Assessment has been carried out to this policy and will be reviewed on a yearly basis.</w:t>
      </w:r>
    </w:p>
    <w:p w14:paraId="132681A3" w14:textId="77777777" w:rsidR="00976293" w:rsidRPr="00ED616A" w:rsidRDefault="00976293" w:rsidP="00245A9E">
      <w:pPr>
        <w:spacing w:after="0"/>
        <w:ind w:left="0"/>
        <w:rPr>
          <w:rFonts w:ascii="Arial" w:hAnsi="Arial" w:cs="Arial"/>
        </w:rPr>
      </w:pPr>
    </w:p>
    <w:p w14:paraId="4747FAD8" w14:textId="77777777" w:rsidR="00976293" w:rsidRPr="00ED616A" w:rsidRDefault="00976293" w:rsidP="00245A9E">
      <w:pPr>
        <w:spacing w:after="0"/>
        <w:ind w:left="0"/>
        <w:rPr>
          <w:rFonts w:ascii="Arial" w:hAnsi="Arial" w:cs="Arial"/>
        </w:rPr>
      </w:pPr>
      <w:r w:rsidRPr="00ED616A">
        <w:rPr>
          <w:rFonts w:ascii="Arial" w:hAnsi="Arial" w:cs="Arial"/>
        </w:rPr>
        <w:t>This policy upon request can be provided in languages other than English, in Braille, Large</w:t>
      </w:r>
      <w:r w:rsidR="00245A9E">
        <w:rPr>
          <w:rFonts w:ascii="Arial" w:hAnsi="Arial" w:cs="Arial"/>
        </w:rPr>
        <w:t xml:space="preserve"> </w:t>
      </w:r>
      <w:r w:rsidRPr="00ED616A">
        <w:rPr>
          <w:rFonts w:ascii="Arial" w:hAnsi="Arial" w:cs="Arial"/>
        </w:rPr>
        <w:t xml:space="preserve">Print and Audio format. </w:t>
      </w:r>
    </w:p>
    <w:p w14:paraId="2F6F05E3" w14:textId="77777777" w:rsidR="00976293" w:rsidRPr="00ED616A" w:rsidRDefault="00976293" w:rsidP="00245A9E">
      <w:pPr>
        <w:pStyle w:val="BodyTextIndent"/>
        <w:ind w:left="0"/>
        <w:rPr>
          <w:rFonts w:cs="Arial"/>
          <w:b/>
          <w:sz w:val="22"/>
          <w:szCs w:val="22"/>
        </w:rPr>
      </w:pPr>
    </w:p>
    <w:p w14:paraId="355068C5" w14:textId="77777777" w:rsidR="00976293" w:rsidRDefault="00976293" w:rsidP="00245A9E">
      <w:pPr>
        <w:ind w:left="0"/>
        <w:rPr>
          <w:rFonts w:ascii="Arial" w:hAnsi="Arial" w:cs="Arial"/>
        </w:rPr>
      </w:pPr>
    </w:p>
    <w:p w14:paraId="68D01040" w14:textId="77777777" w:rsidR="00976293" w:rsidRDefault="00976293" w:rsidP="00245A9E">
      <w:pPr>
        <w:ind w:left="0"/>
        <w:rPr>
          <w:rFonts w:ascii="Arial" w:hAnsi="Arial" w:cs="Arial"/>
        </w:rPr>
      </w:pPr>
    </w:p>
    <w:p w14:paraId="110C5A6B" w14:textId="77777777" w:rsidR="00682E9D" w:rsidRDefault="00682E9D" w:rsidP="00245A9E">
      <w:pPr>
        <w:ind w:left="0"/>
        <w:rPr>
          <w:rFonts w:ascii="Arial" w:hAnsi="Arial" w:cs="Arial"/>
        </w:rPr>
      </w:pPr>
    </w:p>
    <w:p w14:paraId="21F57551" w14:textId="77777777" w:rsidR="00682E9D" w:rsidRDefault="00682E9D" w:rsidP="00245A9E">
      <w:pPr>
        <w:ind w:left="0"/>
        <w:rPr>
          <w:rFonts w:ascii="Arial" w:hAnsi="Arial" w:cs="Arial"/>
        </w:rPr>
      </w:pPr>
    </w:p>
    <w:p w14:paraId="60A271FA" w14:textId="77777777" w:rsidR="00682E9D" w:rsidRDefault="00682E9D" w:rsidP="00245A9E">
      <w:pPr>
        <w:ind w:left="0"/>
        <w:rPr>
          <w:rFonts w:ascii="Arial" w:hAnsi="Arial" w:cs="Arial"/>
        </w:rPr>
      </w:pPr>
    </w:p>
    <w:p w14:paraId="52FB5D95" w14:textId="77777777" w:rsidR="00245A9E" w:rsidRDefault="00245A9E" w:rsidP="00245A9E">
      <w:pPr>
        <w:ind w:left="0"/>
        <w:rPr>
          <w:rFonts w:ascii="Arial" w:hAnsi="Arial" w:cs="Arial"/>
        </w:rPr>
      </w:pPr>
    </w:p>
    <w:p w14:paraId="10420E33" w14:textId="77777777" w:rsidR="00245A9E" w:rsidRDefault="00245A9E" w:rsidP="00245A9E">
      <w:pPr>
        <w:ind w:left="0"/>
        <w:rPr>
          <w:rFonts w:ascii="Arial" w:hAnsi="Arial" w:cs="Arial"/>
        </w:rPr>
      </w:pPr>
    </w:p>
    <w:p w14:paraId="512771AD" w14:textId="77777777" w:rsidR="00245A9E" w:rsidRDefault="00245A9E" w:rsidP="00245A9E">
      <w:pPr>
        <w:ind w:left="0"/>
        <w:rPr>
          <w:rFonts w:ascii="Arial" w:hAnsi="Arial" w:cs="Arial"/>
        </w:rPr>
      </w:pPr>
    </w:p>
    <w:p w14:paraId="7140C7B2" w14:textId="77777777" w:rsidR="00245A9E" w:rsidRDefault="00245A9E" w:rsidP="00245A9E">
      <w:pPr>
        <w:ind w:left="0"/>
        <w:rPr>
          <w:rFonts w:ascii="Arial" w:hAnsi="Arial" w:cs="Arial"/>
        </w:rPr>
      </w:pPr>
    </w:p>
    <w:p w14:paraId="5D39ED4D" w14:textId="77777777" w:rsidR="00245A9E" w:rsidRDefault="00245A9E" w:rsidP="00245A9E">
      <w:pPr>
        <w:ind w:left="0"/>
        <w:rPr>
          <w:rFonts w:ascii="Arial" w:hAnsi="Arial" w:cs="Arial"/>
        </w:rPr>
      </w:pPr>
    </w:p>
    <w:p w14:paraId="125183B5" w14:textId="77777777" w:rsidR="00245A9E" w:rsidRDefault="00245A9E" w:rsidP="00245A9E">
      <w:pPr>
        <w:ind w:left="0"/>
        <w:rPr>
          <w:rFonts w:ascii="Arial" w:hAnsi="Arial" w:cs="Arial"/>
        </w:rPr>
      </w:pPr>
    </w:p>
    <w:p w14:paraId="5C367D56" w14:textId="77777777" w:rsidR="00245A9E" w:rsidRDefault="00245A9E" w:rsidP="00245A9E">
      <w:pPr>
        <w:ind w:left="0"/>
        <w:rPr>
          <w:rFonts w:ascii="Arial" w:hAnsi="Arial" w:cs="Arial"/>
        </w:rPr>
      </w:pPr>
    </w:p>
    <w:p w14:paraId="31732A21" w14:textId="77777777" w:rsidR="00245A9E" w:rsidRDefault="00245A9E" w:rsidP="00245A9E">
      <w:pPr>
        <w:ind w:left="0"/>
        <w:rPr>
          <w:rFonts w:ascii="Arial" w:hAnsi="Arial" w:cs="Arial"/>
        </w:rPr>
      </w:pPr>
    </w:p>
    <w:p w14:paraId="2A23FE52" w14:textId="77777777" w:rsidR="00245A9E" w:rsidRDefault="00245A9E" w:rsidP="00245A9E">
      <w:pPr>
        <w:ind w:left="0"/>
        <w:rPr>
          <w:rFonts w:ascii="Arial" w:hAnsi="Arial" w:cs="Arial"/>
        </w:rPr>
      </w:pPr>
    </w:p>
    <w:p w14:paraId="41E04A75" w14:textId="77777777" w:rsidR="00245A9E" w:rsidRDefault="00245A9E" w:rsidP="00245A9E">
      <w:pPr>
        <w:ind w:left="0"/>
        <w:rPr>
          <w:rFonts w:ascii="Arial" w:hAnsi="Arial" w:cs="Arial"/>
        </w:rPr>
      </w:pPr>
    </w:p>
    <w:p w14:paraId="54954CF5" w14:textId="77777777" w:rsidR="00245A9E" w:rsidRDefault="00245A9E" w:rsidP="00245A9E">
      <w:pPr>
        <w:ind w:left="0"/>
        <w:rPr>
          <w:rFonts w:ascii="Arial" w:hAnsi="Arial" w:cs="Arial"/>
        </w:rPr>
      </w:pPr>
    </w:p>
    <w:p w14:paraId="7EB646C4" w14:textId="77777777" w:rsidR="00682E9D" w:rsidRDefault="00682E9D" w:rsidP="00245A9E">
      <w:pPr>
        <w:ind w:left="0"/>
        <w:rPr>
          <w:rFonts w:ascii="Arial" w:hAnsi="Arial" w:cs="Arial"/>
        </w:rPr>
      </w:pPr>
    </w:p>
    <w:p w14:paraId="31C5BF65" w14:textId="77777777" w:rsidR="00682E9D" w:rsidRDefault="00682E9D" w:rsidP="00245A9E">
      <w:pPr>
        <w:ind w:left="0"/>
        <w:rPr>
          <w:rFonts w:ascii="Arial" w:hAnsi="Arial" w:cs="Arial"/>
        </w:rPr>
      </w:pPr>
    </w:p>
    <w:p w14:paraId="0A4C58A4" w14:textId="77777777" w:rsidR="00682E9D" w:rsidRDefault="00682E9D" w:rsidP="00245A9E">
      <w:pPr>
        <w:ind w:left="0"/>
        <w:rPr>
          <w:rFonts w:ascii="Arial" w:hAnsi="Arial" w:cs="Arial"/>
        </w:rPr>
      </w:pPr>
    </w:p>
    <w:p w14:paraId="2DF141FA" w14:textId="77777777" w:rsidR="00245A9E" w:rsidRDefault="00245A9E" w:rsidP="00245A9E">
      <w:pPr>
        <w:ind w:left="0"/>
        <w:rPr>
          <w:rFonts w:ascii="Arial" w:hAnsi="Arial" w:cs="Arial"/>
        </w:rPr>
      </w:pPr>
    </w:p>
    <w:p w14:paraId="1B7CE8B7" w14:textId="77777777" w:rsidR="00CC67AA" w:rsidRDefault="00CC67AA" w:rsidP="00245A9E">
      <w:pPr>
        <w:ind w:left="0"/>
        <w:rPr>
          <w:rFonts w:ascii="Arial" w:hAnsi="Arial" w:cs="Arial"/>
        </w:rPr>
      </w:pPr>
    </w:p>
    <w:p w14:paraId="7440C2E6" w14:textId="77777777" w:rsidR="00E37B83" w:rsidRDefault="00E37B83"/>
    <w:sectPr w:rsidR="00E37B8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54FA57" w16cex:dateUtc="2024-12-09T09:06:00Z"/>
  <w16cex:commentExtensible w16cex:durableId="2FD20398" w16cex:dateUtc="2024-12-09T09:08:00Z"/>
  <w16cex:commentExtensible w16cex:durableId="5CC3524F" w16cex:dateUtc="2024-12-09T09:12:00Z"/>
  <w16cex:commentExtensible w16cex:durableId="4519566C" w16cex:dateUtc="2024-12-09T09:17:00Z"/>
  <w16cex:commentExtensible w16cex:durableId="4012E21B" w16cex:dateUtc="2024-12-09T09:18:00Z"/>
  <w16cex:commentExtensible w16cex:durableId="1F50DEF7" w16cex:dateUtc="2024-12-09T09:22:00Z"/>
  <w16cex:commentExtensible w16cex:durableId="0C97FCC2" w16cex:dateUtc="2024-12-09T0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A58C" w14:textId="77777777" w:rsidR="008E3142" w:rsidRDefault="008E3142" w:rsidP="00512FF7">
      <w:pPr>
        <w:spacing w:after="0"/>
      </w:pPr>
      <w:r>
        <w:separator/>
      </w:r>
    </w:p>
  </w:endnote>
  <w:endnote w:type="continuationSeparator" w:id="0">
    <w:p w14:paraId="5138FFBB" w14:textId="77777777" w:rsidR="008E3142" w:rsidRDefault="008E3142" w:rsidP="00512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3F73" w14:textId="77777777" w:rsidR="008E3142" w:rsidRDefault="008E3142" w:rsidP="00512FF7">
      <w:pPr>
        <w:spacing w:after="0"/>
      </w:pPr>
      <w:r>
        <w:separator/>
      </w:r>
    </w:p>
  </w:footnote>
  <w:footnote w:type="continuationSeparator" w:id="0">
    <w:p w14:paraId="7AFB57D8" w14:textId="77777777" w:rsidR="008E3142" w:rsidRDefault="008E3142" w:rsidP="00512F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F1F"/>
    <w:multiLevelType w:val="hybridMultilevel"/>
    <w:tmpl w:val="23E2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F4056"/>
    <w:multiLevelType w:val="hybridMultilevel"/>
    <w:tmpl w:val="D800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7C6C"/>
    <w:multiLevelType w:val="multilevel"/>
    <w:tmpl w:val="30D0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F308D"/>
    <w:multiLevelType w:val="hybridMultilevel"/>
    <w:tmpl w:val="EC3430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55D66"/>
    <w:multiLevelType w:val="hybridMultilevel"/>
    <w:tmpl w:val="D0562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E5B6D"/>
    <w:multiLevelType w:val="multilevel"/>
    <w:tmpl w:val="70DA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32414"/>
    <w:multiLevelType w:val="hybridMultilevel"/>
    <w:tmpl w:val="9088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81389"/>
    <w:multiLevelType w:val="hybridMultilevel"/>
    <w:tmpl w:val="22C2C37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17152AD5"/>
    <w:multiLevelType w:val="hybridMultilevel"/>
    <w:tmpl w:val="E6DC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F2A64"/>
    <w:multiLevelType w:val="multilevel"/>
    <w:tmpl w:val="F67A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A2FDD"/>
    <w:multiLevelType w:val="hybridMultilevel"/>
    <w:tmpl w:val="D216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948B2"/>
    <w:multiLevelType w:val="hybridMultilevel"/>
    <w:tmpl w:val="0028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D69D9"/>
    <w:multiLevelType w:val="multilevel"/>
    <w:tmpl w:val="CED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46E23"/>
    <w:multiLevelType w:val="hybridMultilevel"/>
    <w:tmpl w:val="921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A6DF2"/>
    <w:multiLevelType w:val="hybridMultilevel"/>
    <w:tmpl w:val="BF4AFFF2"/>
    <w:lvl w:ilvl="0" w:tplc="88828CFC">
      <w:start w:val="1"/>
      <w:numFmt w:val="lowerLetter"/>
      <w:lvlText w:val="%1)"/>
      <w:lvlJc w:val="left"/>
      <w:pPr>
        <w:ind w:left="1712" w:hanging="360"/>
      </w:pPr>
      <w:rPr>
        <w:rFonts w:ascii="Arial" w:eastAsia="Calibri" w:hAnsi="Arial" w:cs="Arial"/>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5" w15:restartNumberingAfterBreak="0">
    <w:nsid w:val="2CF86E3C"/>
    <w:multiLevelType w:val="multilevel"/>
    <w:tmpl w:val="8DC4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A86601"/>
    <w:multiLevelType w:val="hybridMultilevel"/>
    <w:tmpl w:val="20888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FD693E"/>
    <w:multiLevelType w:val="multilevel"/>
    <w:tmpl w:val="8DF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601F0"/>
    <w:multiLevelType w:val="multilevel"/>
    <w:tmpl w:val="040C7D6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CF7428"/>
    <w:multiLevelType w:val="hybridMultilevel"/>
    <w:tmpl w:val="F1BEC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DB70F2"/>
    <w:multiLevelType w:val="hybridMultilevel"/>
    <w:tmpl w:val="967A5344"/>
    <w:lvl w:ilvl="0" w:tplc="08090001">
      <w:start w:val="1"/>
      <w:numFmt w:val="bullet"/>
      <w:lvlText w:val=""/>
      <w:lvlJc w:val="left"/>
      <w:pPr>
        <w:ind w:left="2514" w:hanging="360"/>
      </w:pPr>
      <w:rPr>
        <w:rFonts w:ascii="Symbol" w:hAnsi="Symbol" w:hint="default"/>
      </w:rPr>
    </w:lvl>
    <w:lvl w:ilvl="1" w:tplc="08090003" w:tentative="1">
      <w:start w:val="1"/>
      <w:numFmt w:val="bullet"/>
      <w:lvlText w:val="o"/>
      <w:lvlJc w:val="left"/>
      <w:pPr>
        <w:ind w:left="3234" w:hanging="360"/>
      </w:pPr>
      <w:rPr>
        <w:rFonts w:ascii="Courier New" w:hAnsi="Courier New" w:cs="Courier New" w:hint="default"/>
      </w:rPr>
    </w:lvl>
    <w:lvl w:ilvl="2" w:tplc="08090005" w:tentative="1">
      <w:start w:val="1"/>
      <w:numFmt w:val="bullet"/>
      <w:lvlText w:val=""/>
      <w:lvlJc w:val="left"/>
      <w:pPr>
        <w:ind w:left="3954" w:hanging="360"/>
      </w:pPr>
      <w:rPr>
        <w:rFonts w:ascii="Wingdings" w:hAnsi="Wingdings" w:hint="default"/>
      </w:rPr>
    </w:lvl>
    <w:lvl w:ilvl="3" w:tplc="08090001" w:tentative="1">
      <w:start w:val="1"/>
      <w:numFmt w:val="bullet"/>
      <w:lvlText w:val=""/>
      <w:lvlJc w:val="left"/>
      <w:pPr>
        <w:ind w:left="4674" w:hanging="360"/>
      </w:pPr>
      <w:rPr>
        <w:rFonts w:ascii="Symbol" w:hAnsi="Symbol" w:hint="default"/>
      </w:rPr>
    </w:lvl>
    <w:lvl w:ilvl="4" w:tplc="08090003" w:tentative="1">
      <w:start w:val="1"/>
      <w:numFmt w:val="bullet"/>
      <w:lvlText w:val="o"/>
      <w:lvlJc w:val="left"/>
      <w:pPr>
        <w:ind w:left="5394" w:hanging="360"/>
      </w:pPr>
      <w:rPr>
        <w:rFonts w:ascii="Courier New" w:hAnsi="Courier New" w:cs="Courier New" w:hint="default"/>
      </w:rPr>
    </w:lvl>
    <w:lvl w:ilvl="5" w:tplc="08090005" w:tentative="1">
      <w:start w:val="1"/>
      <w:numFmt w:val="bullet"/>
      <w:lvlText w:val=""/>
      <w:lvlJc w:val="left"/>
      <w:pPr>
        <w:ind w:left="6114" w:hanging="360"/>
      </w:pPr>
      <w:rPr>
        <w:rFonts w:ascii="Wingdings" w:hAnsi="Wingdings" w:hint="default"/>
      </w:rPr>
    </w:lvl>
    <w:lvl w:ilvl="6" w:tplc="08090001" w:tentative="1">
      <w:start w:val="1"/>
      <w:numFmt w:val="bullet"/>
      <w:lvlText w:val=""/>
      <w:lvlJc w:val="left"/>
      <w:pPr>
        <w:ind w:left="6834" w:hanging="360"/>
      </w:pPr>
      <w:rPr>
        <w:rFonts w:ascii="Symbol" w:hAnsi="Symbol" w:hint="default"/>
      </w:rPr>
    </w:lvl>
    <w:lvl w:ilvl="7" w:tplc="08090003" w:tentative="1">
      <w:start w:val="1"/>
      <w:numFmt w:val="bullet"/>
      <w:lvlText w:val="o"/>
      <w:lvlJc w:val="left"/>
      <w:pPr>
        <w:ind w:left="7554" w:hanging="360"/>
      </w:pPr>
      <w:rPr>
        <w:rFonts w:ascii="Courier New" w:hAnsi="Courier New" w:cs="Courier New" w:hint="default"/>
      </w:rPr>
    </w:lvl>
    <w:lvl w:ilvl="8" w:tplc="08090005" w:tentative="1">
      <w:start w:val="1"/>
      <w:numFmt w:val="bullet"/>
      <w:lvlText w:val=""/>
      <w:lvlJc w:val="left"/>
      <w:pPr>
        <w:ind w:left="8274" w:hanging="360"/>
      </w:pPr>
      <w:rPr>
        <w:rFonts w:ascii="Wingdings" w:hAnsi="Wingdings" w:hint="default"/>
      </w:rPr>
    </w:lvl>
  </w:abstractNum>
  <w:abstractNum w:abstractNumId="21" w15:restartNumberingAfterBreak="0">
    <w:nsid w:val="408033F3"/>
    <w:multiLevelType w:val="hybridMultilevel"/>
    <w:tmpl w:val="6E50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915B8"/>
    <w:multiLevelType w:val="hybridMultilevel"/>
    <w:tmpl w:val="C6A42D4A"/>
    <w:lvl w:ilvl="0" w:tplc="F1BEBAB6">
      <w:start w:val="1"/>
      <w:numFmt w:val="bullet"/>
      <w:lvlText w:val="•"/>
      <w:lvlJc w:val="left"/>
      <w:pPr>
        <w:ind w:left="720"/>
      </w:pPr>
      <w:rPr>
        <w:rFonts w:ascii="Arial" w:eastAsia="Arial" w:hAnsi="Arial" w:cs="Arial"/>
        <w:b w:val="0"/>
        <w:i w:val="0"/>
        <w:strike w:val="0"/>
        <w:dstrike w:val="0"/>
        <w:color w:val="2F2F2D"/>
        <w:sz w:val="24"/>
        <w:szCs w:val="24"/>
        <w:u w:val="none" w:color="000000"/>
        <w:bdr w:val="none" w:sz="0" w:space="0" w:color="auto"/>
        <w:shd w:val="clear" w:color="auto" w:fill="auto"/>
        <w:vertAlign w:val="baseline"/>
      </w:rPr>
    </w:lvl>
    <w:lvl w:ilvl="1" w:tplc="4AB8D714">
      <w:start w:val="1"/>
      <w:numFmt w:val="bullet"/>
      <w:lvlText w:val="o"/>
      <w:lvlJc w:val="left"/>
      <w:pPr>
        <w:ind w:left="144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lvl w:ilvl="2" w:tplc="9E06C2FA">
      <w:start w:val="1"/>
      <w:numFmt w:val="bullet"/>
      <w:lvlText w:val="▪"/>
      <w:lvlJc w:val="left"/>
      <w:pPr>
        <w:ind w:left="216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lvl w:ilvl="3" w:tplc="74BCB7E4">
      <w:start w:val="1"/>
      <w:numFmt w:val="bullet"/>
      <w:lvlText w:val="•"/>
      <w:lvlJc w:val="left"/>
      <w:pPr>
        <w:ind w:left="2880"/>
      </w:pPr>
      <w:rPr>
        <w:rFonts w:ascii="Arial" w:eastAsia="Arial" w:hAnsi="Arial" w:cs="Arial"/>
        <w:b w:val="0"/>
        <w:i w:val="0"/>
        <w:strike w:val="0"/>
        <w:dstrike w:val="0"/>
        <w:color w:val="2F2F2D"/>
        <w:sz w:val="24"/>
        <w:szCs w:val="24"/>
        <w:u w:val="none" w:color="000000"/>
        <w:bdr w:val="none" w:sz="0" w:space="0" w:color="auto"/>
        <w:shd w:val="clear" w:color="auto" w:fill="auto"/>
        <w:vertAlign w:val="baseline"/>
      </w:rPr>
    </w:lvl>
    <w:lvl w:ilvl="4" w:tplc="25AA35DE">
      <w:start w:val="1"/>
      <w:numFmt w:val="bullet"/>
      <w:lvlText w:val="o"/>
      <w:lvlJc w:val="left"/>
      <w:pPr>
        <w:ind w:left="360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lvl w:ilvl="5" w:tplc="D46824CA">
      <w:start w:val="1"/>
      <w:numFmt w:val="bullet"/>
      <w:lvlText w:val="▪"/>
      <w:lvlJc w:val="left"/>
      <w:pPr>
        <w:ind w:left="432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lvl w:ilvl="6" w:tplc="A94E919E">
      <w:start w:val="1"/>
      <w:numFmt w:val="bullet"/>
      <w:lvlText w:val="•"/>
      <w:lvlJc w:val="left"/>
      <w:pPr>
        <w:ind w:left="5040"/>
      </w:pPr>
      <w:rPr>
        <w:rFonts w:ascii="Arial" w:eastAsia="Arial" w:hAnsi="Arial" w:cs="Arial"/>
        <w:b w:val="0"/>
        <w:i w:val="0"/>
        <w:strike w:val="0"/>
        <w:dstrike w:val="0"/>
        <w:color w:val="2F2F2D"/>
        <w:sz w:val="24"/>
        <w:szCs w:val="24"/>
        <w:u w:val="none" w:color="000000"/>
        <w:bdr w:val="none" w:sz="0" w:space="0" w:color="auto"/>
        <w:shd w:val="clear" w:color="auto" w:fill="auto"/>
        <w:vertAlign w:val="baseline"/>
      </w:rPr>
    </w:lvl>
    <w:lvl w:ilvl="7" w:tplc="EFF8ADE0">
      <w:start w:val="1"/>
      <w:numFmt w:val="bullet"/>
      <w:lvlText w:val="o"/>
      <w:lvlJc w:val="left"/>
      <w:pPr>
        <w:ind w:left="576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lvl w:ilvl="8" w:tplc="18908AA4">
      <w:start w:val="1"/>
      <w:numFmt w:val="bullet"/>
      <w:lvlText w:val="▪"/>
      <w:lvlJc w:val="left"/>
      <w:pPr>
        <w:ind w:left="6480"/>
      </w:pPr>
      <w:rPr>
        <w:rFonts w:ascii="Segoe UI Symbol" w:eastAsia="Segoe UI Symbol" w:hAnsi="Segoe UI Symbol" w:cs="Segoe UI Symbol"/>
        <w:b w:val="0"/>
        <w:i w:val="0"/>
        <w:strike w:val="0"/>
        <w:dstrike w:val="0"/>
        <w:color w:val="2F2F2D"/>
        <w:sz w:val="24"/>
        <w:szCs w:val="24"/>
        <w:u w:val="none" w:color="000000"/>
        <w:bdr w:val="none" w:sz="0" w:space="0" w:color="auto"/>
        <w:shd w:val="clear" w:color="auto" w:fill="auto"/>
        <w:vertAlign w:val="baseline"/>
      </w:rPr>
    </w:lvl>
  </w:abstractNum>
  <w:abstractNum w:abstractNumId="23" w15:restartNumberingAfterBreak="0">
    <w:nsid w:val="46090627"/>
    <w:multiLevelType w:val="hybridMultilevel"/>
    <w:tmpl w:val="77D48AFA"/>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586230"/>
    <w:multiLevelType w:val="hybridMultilevel"/>
    <w:tmpl w:val="36DC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330CD"/>
    <w:multiLevelType w:val="multilevel"/>
    <w:tmpl w:val="C88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37F5E"/>
    <w:multiLevelType w:val="multilevel"/>
    <w:tmpl w:val="064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CB69B2"/>
    <w:multiLevelType w:val="hybridMultilevel"/>
    <w:tmpl w:val="56E609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912E4"/>
    <w:multiLevelType w:val="multilevel"/>
    <w:tmpl w:val="C93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81C87"/>
    <w:multiLevelType w:val="hybridMultilevel"/>
    <w:tmpl w:val="22FC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31B3D"/>
    <w:multiLevelType w:val="multilevel"/>
    <w:tmpl w:val="439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D31792"/>
    <w:multiLevelType w:val="hybridMultilevel"/>
    <w:tmpl w:val="D026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A045B"/>
    <w:multiLevelType w:val="multilevel"/>
    <w:tmpl w:val="AB3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5160C4"/>
    <w:multiLevelType w:val="hybridMultilevel"/>
    <w:tmpl w:val="070494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58C0119E"/>
    <w:multiLevelType w:val="hybridMultilevel"/>
    <w:tmpl w:val="7946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372DA"/>
    <w:multiLevelType w:val="hybridMultilevel"/>
    <w:tmpl w:val="38CE8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D6359"/>
    <w:multiLevelType w:val="multilevel"/>
    <w:tmpl w:val="3D9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E6CA3"/>
    <w:multiLevelType w:val="hybridMultilevel"/>
    <w:tmpl w:val="5CFE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FE6FFA"/>
    <w:multiLevelType w:val="hybridMultilevel"/>
    <w:tmpl w:val="3940A3F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C837FB1"/>
    <w:multiLevelType w:val="multilevel"/>
    <w:tmpl w:val="F2B0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7"/>
  </w:num>
  <w:num w:numId="3">
    <w:abstractNumId w:val="38"/>
  </w:num>
  <w:num w:numId="4">
    <w:abstractNumId w:val="14"/>
  </w:num>
  <w:num w:numId="5">
    <w:abstractNumId w:val="18"/>
  </w:num>
  <w:num w:numId="6">
    <w:abstractNumId w:val="23"/>
  </w:num>
  <w:num w:numId="7">
    <w:abstractNumId w:val="22"/>
  </w:num>
  <w:num w:numId="8">
    <w:abstractNumId w:val="29"/>
  </w:num>
  <w:num w:numId="9">
    <w:abstractNumId w:val="20"/>
  </w:num>
  <w:num w:numId="10">
    <w:abstractNumId w:val="4"/>
  </w:num>
  <w:num w:numId="11">
    <w:abstractNumId w:val="13"/>
  </w:num>
  <w:num w:numId="12">
    <w:abstractNumId w:val="37"/>
  </w:num>
  <w:num w:numId="13">
    <w:abstractNumId w:val="21"/>
  </w:num>
  <w:num w:numId="14">
    <w:abstractNumId w:val="8"/>
  </w:num>
  <w:num w:numId="15">
    <w:abstractNumId w:val="33"/>
  </w:num>
  <w:num w:numId="16">
    <w:abstractNumId w:val="3"/>
  </w:num>
  <w:num w:numId="17">
    <w:abstractNumId w:val="30"/>
  </w:num>
  <w:num w:numId="18">
    <w:abstractNumId w:val="32"/>
  </w:num>
  <w:num w:numId="19">
    <w:abstractNumId w:val="39"/>
  </w:num>
  <w:num w:numId="20">
    <w:abstractNumId w:val="11"/>
  </w:num>
  <w:num w:numId="21">
    <w:abstractNumId w:val="5"/>
  </w:num>
  <w:num w:numId="22">
    <w:abstractNumId w:val="26"/>
  </w:num>
  <w:num w:numId="23">
    <w:abstractNumId w:val="2"/>
  </w:num>
  <w:num w:numId="24">
    <w:abstractNumId w:val="12"/>
  </w:num>
  <w:num w:numId="25">
    <w:abstractNumId w:val="6"/>
  </w:num>
  <w:num w:numId="26">
    <w:abstractNumId w:val="36"/>
  </w:num>
  <w:num w:numId="27">
    <w:abstractNumId w:val="15"/>
  </w:num>
  <w:num w:numId="28">
    <w:abstractNumId w:val="28"/>
  </w:num>
  <w:num w:numId="29">
    <w:abstractNumId w:val="9"/>
  </w:num>
  <w:num w:numId="30">
    <w:abstractNumId w:val="17"/>
  </w:num>
  <w:num w:numId="31">
    <w:abstractNumId w:val="25"/>
  </w:num>
  <w:num w:numId="32">
    <w:abstractNumId w:val="16"/>
  </w:num>
  <w:num w:numId="33">
    <w:abstractNumId w:val="34"/>
  </w:num>
  <w:num w:numId="34">
    <w:abstractNumId w:val="10"/>
  </w:num>
  <w:num w:numId="35">
    <w:abstractNumId w:val="31"/>
  </w:num>
  <w:num w:numId="36">
    <w:abstractNumId w:val="35"/>
  </w:num>
  <w:num w:numId="37">
    <w:abstractNumId w:val="19"/>
  </w:num>
  <w:num w:numId="38">
    <w:abstractNumId w:val="0"/>
  </w:num>
  <w:num w:numId="39">
    <w:abstractNumId w:val="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07"/>
    <w:rsid w:val="000005B5"/>
    <w:rsid w:val="00012BB1"/>
    <w:rsid w:val="00014C93"/>
    <w:rsid w:val="000241DF"/>
    <w:rsid w:val="00026F06"/>
    <w:rsid w:val="0003522E"/>
    <w:rsid w:val="00035F8E"/>
    <w:rsid w:val="000445A2"/>
    <w:rsid w:val="00051C41"/>
    <w:rsid w:val="000575D9"/>
    <w:rsid w:val="00064A13"/>
    <w:rsid w:val="0007118B"/>
    <w:rsid w:val="00071F52"/>
    <w:rsid w:val="000872E1"/>
    <w:rsid w:val="000941E4"/>
    <w:rsid w:val="000964C9"/>
    <w:rsid w:val="000A2C1C"/>
    <w:rsid w:val="000C56CD"/>
    <w:rsid w:val="000D7C97"/>
    <w:rsid w:val="000E2D00"/>
    <w:rsid w:val="00111FAC"/>
    <w:rsid w:val="00123051"/>
    <w:rsid w:val="0012544F"/>
    <w:rsid w:val="00125BAC"/>
    <w:rsid w:val="00136091"/>
    <w:rsid w:val="00147362"/>
    <w:rsid w:val="001500C9"/>
    <w:rsid w:val="001653BA"/>
    <w:rsid w:val="00166AC6"/>
    <w:rsid w:val="00183007"/>
    <w:rsid w:val="00187204"/>
    <w:rsid w:val="001A6B2F"/>
    <w:rsid w:val="001A7833"/>
    <w:rsid w:val="001D3D6D"/>
    <w:rsid w:val="00202E38"/>
    <w:rsid w:val="0021096D"/>
    <w:rsid w:val="00245A9E"/>
    <w:rsid w:val="00263578"/>
    <w:rsid w:val="00284B55"/>
    <w:rsid w:val="00291358"/>
    <w:rsid w:val="002943EB"/>
    <w:rsid w:val="002A4867"/>
    <w:rsid w:val="002A5E15"/>
    <w:rsid w:val="002B5430"/>
    <w:rsid w:val="002B57A0"/>
    <w:rsid w:val="002D331F"/>
    <w:rsid w:val="002F34BB"/>
    <w:rsid w:val="00317937"/>
    <w:rsid w:val="00322157"/>
    <w:rsid w:val="0032409C"/>
    <w:rsid w:val="00337725"/>
    <w:rsid w:val="00366E86"/>
    <w:rsid w:val="00367D81"/>
    <w:rsid w:val="003831CB"/>
    <w:rsid w:val="00385D03"/>
    <w:rsid w:val="00396B89"/>
    <w:rsid w:val="00397C00"/>
    <w:rsid w:val="003A3629"/>
    <w:rsid w:val="003A46C3"/>
    <w:rsid w:val="003B184D"/>
    <w:rsid w:val="003D3600"/>
    <w:rsid w:val="003D58CA"/>
    <w:rsid w:val="003E692D"/>
    <w:rsid w:val="003F4DD6"/>
    <w:rsid w:val="00404384"/>
    <w:rsid w:val="004152CD"/>
    <w:rsid w:val="00430787"/>
    <w:rsid w:val="00434D7C"/>
    <w:rsid w:val="0044156E"/>
    <w:rsid w:val="00442AB1"/>
    <w:rsid w:val="00445FAB"/>
    <w:rsid w:val="004500B6"/>
    <w:rsid w:val="004941CE"/>
    <w:rsid w:val="004B7E86"/>
    <w:rsid w:val="004E612A"/>
    <w:rsid w:val="00500199"/>
    <w:rsid w:val="00504202"/>
    <w:rsid w:val="00512FF7"/>
    <w:rsid w:val="00527FF5"/>
    <w:rsid w:val="00543236"/>
    <w:rsid w:val="00557EEC"/>
    <w:rsid w:val="00575247"/>
    <w:rsid w:val="00584C92"/>
    <w:rsid w:val="005A1064"/>
    <w:rsid w:val="005A4DCA"/>
    <w:rsid w:val="005C2308"/>
    <w:rsid w:val="005C7FF8"/>
    <w:rsid w:val="005E7521"/>
    <w:rsid w:val="00615589"/>
    <w:rsid w:val="00635AF2"/>
    <w:rsid w:val="00643379"/>
    <w:rsid w:val="00676DEC"/>
    <w:rsid w:val="00682E9D"/>
    <w:rsid w:val="006840A2"/>
    <w:rsid w:val="00686BB2"/>
    <w:rsid w:val="0069047A"/>
    <w:rsid w:val="006952EE"/>
    <w:rsid w:val="00695E8F"/>
    <w:rsid w:val="00696025"/>
    <w:rsid w:val="006A1BDC"/>
    <w:rsid w:val="006A5C36"/>
    <w:rsid w:val="006C05C4"/>
    <w:rsid w:val="006D1A96"/>
    <w:rsid w:val="006D3958"/>
    <w:rsid w:val="006E0785"/>
    <w:rsid w:val="006E1ED9"/>
    <w:rsid w:val="006E284F"/>
    <w:rsid w:val="007020A4"/>
    <w:rsid w:val="007039CA"/>
    <w:rsid w:val="00710884"/>
    <w:rsid w:val="007135B7"/>
    <w:rsid w:val="00716545"/>
    <w:rsid w:val="007252F3"/>
    <w:rsid w:val="00735851"/>
    <w:rsid w:val="007441FF"/>
    <w:rsid w:val="00766064"/>
    <w:rsid w:val="0079382F"/>
    <w:rsid w:val="00796534"/>
    <w:rsid w:val="007A35B4"/>
    <w:rsid w:val="007C4040"/>
    <w:rsid w:val="007E6ADB"/>
    <w:rsid w:val="007E7436"/>
    <w:rsid w:val="008007C7"/>
    <w:rsid w:val="0080760A"/>
    <w:rsid w:val="00811E32"/>
    <w:rsid w:val="008455D6"/>
    <w:rsid w:val="00845B8F"/>
    <w:rsid w:val="0087613F"/>
    <w:rsid w:val="00880124"/>
    <w:rsid w:val="00887626"/>
    <w:rsid w:val="00890DC8"/>
    <w:rsid w:val="008A2893"/>
    <w:rsid w:val="008B5741"/>
    <w:rsid w:val="008C5EFD"/>
    <w:rsid w:val="008D5981"/>
    <w:rsid w:val="008E3142"/>
    <w:rsid w:val="008F539B"/>
    <w:rsid w:val="0091664B"/>
    <w:rsid w:val="009364CE"/>
    <w:rsid w:val="00937170"/>
    <w:rsid w:val="00947026"/>
    <w:rsid w:val="00961E63"/>
    <w:rsid w:val="00975050"/>
    <w:rsid w:val="009760F3"/>
    <w:rsid w:val="00976293"/>
    <w:rsid w:val="00994DA1"/>
    <w:rsid w:val="009A2F62"/>
    <w:rsid w:val="009A6E79"/>
    <w:rsid w:val="009B0A94"/>
    <w:rsid w:val="009B0C8C"/>
    <w:rsid w:val="009C2838"/>
    <w:rsid w:val="009D596D"/>
    <w:rsid w:val="009E1967"/>
    <w:rsid w:val="009E4B50"/>
    <w:rsid w:val="009F3570"/>
    <w:rsid w:val="00A4256C"/>
    <w:rsid w:val="00A5036C"/>
    <w:rsid w:val="00A51F72"/>
    <w:rsid w:val="00A87A96"/>
    <w:rsid w:val="00A9381E"/>
    <w:rsid w:val="00A977E5"/>
    <w:rsid w:val="00AA1A72"/>
    <w:rsid w:val="00AC430D"/>
    <w:rsid w:val="00AD1AF5"/>
    <w:rsid w:val="00AD5B2F"/>
    <w:rsid w:val="00AE09D1"/>
    <w:rsid w:val="00B02A6F"/>
    <w:rsid w:val="00B27D5F"/>
    <w:rsid w:val="00B35170"/>
    <w:rsid w:val="00B405AE"/>
    <w:rsid w:val="00B63AC5"/>
    <w:rsid w:val="00B656F1"/>
    <w:rsid w:val="00BA1E24"/>
    <w:rsid w:val="00BA30AA"/>
    <w:rsid w:val="00BD05B6"/>
    <w:rsid w:val="00BD1B19"/>
    <w:rsid w:val="00BD3F31"/>
    <w:rsid w:val="00BE3D12"/>
    <w:rsid w:val="00BF3F90"/>
    <w:rsid w:val="00C04A9D"/>
    <w:rsid w:val="00C14595"/>
    <w:rsid w:val="00C26A40"/>
    <w:rsid w:val="00C324B5"/>
    <w:rsid w:val="00C4365E"/>
    <w:rsid w:val="00C60C56"/>
    <w:rsid w:val="00C753B1"/>
    <w:rsid w:val="00C955E7"/>
    <w:rsid w:val="00CA6EC5"/>
    <w:rsid w:val="00CA7747"/>
    <w:rsid w:val="00CC2A0C"/>
    <w:rsid w:val="00CC67AA"/>
    <w:rsid w:val="00CD58FF"/>
    <w:rsid w:val="00CE07D2"/>
    <w:rsid w:val="00CF3F22"/>
    <w:rsid w:val="00D1425D"/>
    <w:rsid w:val="00D16242"/>
    <w:rsid w:val="00D44451"/>
    <w:rsid w:val="00D46CE1"/>
    <w:rsid w:val="00D53D92"/>
    <w:rsid w:val="00D65384"/>
    <w:rsid w:val="00D768F4"/>
    <w:rsid w:val="00DA5F89"/>
    <w:rsid w:val="00DA6601"/>
    <w:rsid w:val="00DB1E62"/>
    <w:rsid w:val="00DC5737"/>
    <w:rsid w:val="00DF1E85"/>
    <w:rsid w:val="00DF473C"/>
    <w:rsid w:val="00E130EC"/>
    <w:rsid w:val="00E20DFD"/>
    <w:rsid w:val="00E230A4"/>
    <w:rsid w:val="00E2741F"/>
    <w:rsid w:val="00E30749"/>
    <w:rsid w:val="00E3404C"/>
    <w:rsid w:val="00E37B83"/>
    <w:rsid w:val="00E37EA3"/>
    <w:rsid w:val="00E43309"/>
    <w:rsid w:val="00E734DA"/>
    <w:rsid w:val="00E764E2"/>
    <w:rsid w:val="00E773B9"/>
    <w:rsid w:val="00E81992"/>
    <w:rsid w:val="00E81F8B"/>
    <w:rsid w:val="00E83904"/>
    <w:rsid w:val="00E95B6B"/>
    <w:rsid w:val="00EA666A"/>
    <w:rsid w:val="00ED6161"/>
    <w:rsid w:val="00EE4A64"/>
    <w:rsid w:val="00EF172F"/>
    <w:rsid w:val="00EF1BB0"/>
    <w:rsid w:val="00EF5184"/>
    <w:rsid w:val="00F047D8"/>
    <w:rsid w:val="00F27C94"/>
    <w:rsid w:val="00F324D2"/>
    <w:rsid w:val="00F438CC"/>
    <w:rsid w:val="00F67518"/>
    <w:rsid w:val="00F734B6"/>
    <w:rsid w:val="00F83AA1"/>
    <w:rsid w:val="00F91C06"/>
    <w:rsid w:val="00F93AB2"/>
    <w:rsid w:val="00F9567C"/>
    <w:rsid w:val="00FA56BD"/>
    <w:rsid w:val="00FA77FE"/>
    <w:rsid w:val="00FE11B1"/>
    <w:rsid w:val="00FE11F9"/>
    <w:rsid w:val="00FF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7F1F"/>
  <w15:chartTrackingRefBased/>
  <w15:docId w15:val="{76F0DA41-AC51-4DAC-97E0-4E0FA8DD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4B6"/>
    <w:pPr>
      <w:spacing w:after="200" w:line="240" w:lineRule="auto"/>
      <w:ind w:left="72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B6"/>
    <w:pPr>
      <w:contextualSpacing/>
    </w:pPr>
  </w:style>
  <w:style w:type="paragraph" w:styleId="Header">
    <w:name w:val="header"/>
    <w:basedOn w:val="Normal"/>
    <w:link w:val="HeaderChar"/>
    <w:rsid w:val="00F734B6"/>
    <w:pPr>
      <w:tabs>
        <w:tab w:val="center" w:pos="4153"/>
        <w:tab w:val="right" w:pos="8306"/>
      </w:tabs>
      <w:spacing w:after="0"/>
      <w:ind w:left="0"/>
      <w:jc w:val="left"/>
    </w:pPr>
    <w:rPr>
      <w:rFonts w:ascii="Times New Roman" w:eastAsia="Times New Roman" w:hAnsi="Times New Roman"/>
      <w:sz w:val="24"/>
      <w:szCs w:val="24"/>
    </w:rPr>
  </w:style>
  <w:style w:type="character" w:customStyle="1" w:styleId="HeaderChar">
    <w:name w:val="Header Char"/>
    <w:basedOn w:val="DefaultParagraphFont"/>
    <w:link w:val="Header"/>
    <w:rsid w:val="00F734B6"/>
    <w:rPr>
      <w:rFonts w:ascii="Times New Roman" w:eastAsia="Times New Roman" w:hAnsi="Times New Roman" w:cs="Times New Roman"/>
      <w:sz w:val="24"/>
      <w:szCs w:val="24"/>
    </w:rPr>
  </w:style>
  <w:style w:type="paragraph" w:styleId="BodyTextIndent">
    <w:name w:val="Body Text Indent"/>
    <w:basedOn w:val="Normal"/>
    <w:link w:val="BodyTextIndentChar"/>
    <w:rsid w:val="00F734B6"/>
    <w:pPr>
      <w:spacing w:after="0"/>
      <w:ind w:left="540"/>
      <w:jc w:val="left"/>
    </w:pPr>
    <w:rPr>
      <w:rFonts w:ascii="Arial" w:eastAsia="Times New Roman" w:hAnsi="Arial"/>
      <w:sz w:val="24"/>
      <w:szCs w:val="24"/>
    </w:rPr>
  </w:style>
  <w:style w:type="character" w:customStyle="1" w:styleId="BodyTextIndentChar">
    <w:name w:val="Body Text Indent Char"/>
    <w:basedOn w:val="DefaultParagraphFont"/>
    <w:link w:val="BodyTextIndent"/>
    <w:rsid w:val="00F734B6"/>
    <w:rPr>
      <w:rFonts w:ascii="Arial" w:eastAsia="Times New Roman" w:hAnsi="Arial" w:cs="Times New Roman"/>
      <w:sz w:val="24"/>
      <w:szCs w:val="24"/>
    </w:rPr>
  </w:style>
  <w:style w:type="table" w:styleId="GridTable1Light-Accent1">
    <w:name w:val="Grid Table 1 Light Accent 1"/>
    <w:basedOn w:val="TableNormal"/>
    <w:uiPriority w:val="46"/>
    <w:rsid w:val="00F734B6"/>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A5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7B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2FF7"/>
    <w:pPr>
      <w:tabs>
        <w:tab w:val="center" w:pos="4513"/>
        <w:tab w:val="right" w:pos="9026"/>
      </w:tabs>
      <w:spacing w:after="0"/>
    </w:pPr>
  </w:style>
  <w:style w:type="character" w:customStyle="1" w:styleId="FooterChar">
    <w:name w:val="Footer Char"/>
    <w:basedOn w:val="DefaultParagraphFont"/>
    <w:link w:val="Footer"/>
    <w:uiPriority w:val="99"/>
    <w:rsid w:val="00512FF7"/>
    <w:rPr>
      <w:rFonts w:ascii="Calibri" w:eastAsia="Calibri" w:hAnsi="Calibri" w:cs="Times New Roman"/>
    </w:rPr>
  </w:style>
  <w:style w:type="paragraph" w:customStyle="1" w:styleId="paragraph">
    <w:name w:val="paragraph"/>
    <w:basedOn w:val="Normal"/>
    <w:rsid w:val="00FA77FE"/>
    <w:pPr>
      <w:spacing w:before="100" w:beforeAutospacing="1" w:after="100" w:afterAutospacing="1"/>
      <w:ind w:left="0"/>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FA77FE"/>
  </w:style>
  <w:style w:type="character" w:customStyle="1" w:styleId="eop">
    <w:name w:val="eop"/>
    <w:basedOn w:val="DefaultParagraphFont"/>
    <w:rsid w:val="00FA77FE"/>
  </w:style>
  <w:style w:type="character" w:styleId="CommentReference">
    <w:name w:val="annotation reference"/>
    <w:basedOn w:val="DefaultParagraphFont"/>
    <w:uiPriority w:val="99"/>
    <w:semiHidden/>
    <w:unhideWhenUsed/>
    <w:rsid w:val="003F4DD6"/>
    <w:rPr>
      <w:sz w:val="16"/>
      <w:szCs w:val="16"/>
    </w:rPr>
  </w:style>
  <w:style w:type="paragraph" w:styleId="CommentText">
    <w:name w:val="annotation text"/>
    <w:basedOn w:val="Normal"/>
    <w:link w:val="CommentTextChar"/>
    <w:uiPriority w:val="99"/>
    <w:unhideWhenUsed/>
    <w:rsid w:val="003F4DD6"/>
    <w:rPr>
      <w:sz w:val="20"/>
      <w:szCs w:val="20"/>
    </w:rPr>
  </w:style>
  <w:style w:type="character" w:customStyle="1" w:styleId="CommentTextChar">
    <w:name w:val="Comment Text Char"/>
    <w:basedOn w:val="DefaultParagraphFont"/>
    <w:link w:val="CommentText"/>
    <w:uiPriority w:val="99"/>
    <w:rsid w:val="003F4D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4DD6"/>
    <w:rPr>
      <w:b/>
      <w:bCs/>
    </w:rPr>
  </w:style>
  <w:style w:type="character" w:customStyle="1" w:styleId="CommentSubjectChar">
    <w:name w:val="Comment Subject Char"/>
    <w:basedOn w:val="CommentTextChar"/>
    <w:link w:val="CommentSubject"/>
    <w:uiPriority w:val="99"/>
    <w:semiHidden/>
    <w:rsid w:val="003F4DD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F4D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D6"/>
    <w:rPr>
      <w:rFonts w:ascii="Segoe UI" w:eastAsia="Calibri" w:hAnsi="Segoe UI" w:cs="Segoe UI"/>
      <w:sz w:val="18"/>
      <w:szCs w:val="18"/>
    </w:rPr>
  </w:style>
  <w:style w:type="paragraph" w:styleId="Revision">
    <w:name w:val="Revision"/>
    <w:hidden/>
    <w:uiPriority w:val="99"/>
    <w:semiHidden/>
    <w:rsid w:val="002A5E1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9962">
      <w:bodyDiv w:val="1"/>
      <w:marLeft w:val="0"/>
      <w:marRight w:val="0"/>
      <w:marTop w:val="0"/>
      <w:marBottom w:val="0"/>
      <w:divBdr>
        <w:top w:val="none" w:sz="0" w:space="0" w:color="auto"/>
        <w:left w:val="none" w:sz="0" w:space="0" w:color="auto"/>
        <w:bottom w:val="none" w:sz="0" w:space="0" w:color="auto"/>
        <w:right w:val="none" w:sz="0" w:space="0" w:color="auto"/>
      </w:divBdr>
      <w:divsChild>
        <w:div w:id="904145757">
          <w:marLeft w:val="0"/>
          <w:marRight w:val="0"/>
          <w:marTop w:val="0"/>
          <w:marBottom w:val="0"/>
          <w:divBdr>
            <w:top w:val="none" w:sz="0" w:space="0" w:color="auto"/>
            <w:left w:val="none" w:sz="0" w:space="0" w:color="auto"/>
            <w:bottom w:val="none" w:sz="0" w:space="0" w:color="auto"/>
            <w:right w:val="none" w:sz="0" w:space="0" w:color="auto"/>
          </w:divBdr>
          <w:divsChild>
            <w:div w:id="1462187243">
              <w:marLeft w:val="0"/>
              <w:marRight w:val="0"/>
              <w:marTop w:val="0"/>
              <w:marBottom w:val="0"/>
              <w:divBdr>
                <w:top w:val="none" w:sz="0" w:space="0" w:color="auto"/>
                <w:left w:val="none" w:sz="0" w:space="0" w:color="auto"/>
                <w:bottom w:val="none" w:sz="0" w:space="0" w:color="auto"/>
                <w:right w:val="none" w:sz="0" w:space="0" w:color="auto"/>
              </w:divBdr>
            </w:div>
          </w:divsChild>
        </w:div>
        <w:div w:id="1677076718">
          <w:marLeft w:val="0"/>
          <w:marRight w:val="0"/>
          <w:marTop w:val="0"/>
          <w:marBottom w:val="0"/>
          <w:divBdr>
            <w:top w:val="none" w:sz="0" w:space="0" w:color="auto"/>
            <w:left w:val="none" w:sz="0" w:space="0" w:color="auto"/>
            <w:bottom w:val="none" w:sz="0" w:space="0" w:color="auto"/>
            <w:right w:val="none" w:sz="0" w:space="0" w:color="auto"/>
          </w:divBdr>
          <w:divsChild>
            <w:div w:id="502281365">
              <w:marLeft w:val="0"/>
              <w:marRight w:val="0"/>
              <w:marTop w:val="0"/>
              <w:marBottom w:val="0"/>
              <w:divBdr>
                <w:top w:val="none" w:sz="0" w:space="0" w:color="auto"/>
                <w:left w:val="none" w:sz="0" w:space="0" w:color="auto"/>
                <w:bottom w:val="none" w:sz="0" w:space="0" w:color="auto"/>
                <w:right w:val="none" w:sz="0" w:space="0" w:color="auto"/>
              </w:divBdr>
            </w:div>
            <w:div w:id="333843376">
              <w:marLeft w:val="0"/>
              <w:marRight w:val="0"/>
              <w:marTop w:val="0"/>
              <w:marBottom w:val="0"/>
              <w:divBdr>
                <w:top w:val="none" w:sz="0" w:space="0" w:color="auto"/>
                <w:left w:val="none" w:sz="0" w:space="0" w:color="auto"/>
                <w:bottom w:val="none" w:sz="0" w:space="0" w:color="auto"/>
                <w:right w:val="none" w:sz="0" w:space="0" w:color="auto"/>
              </w:divBdr>
            </w:div>
            <w:div w:id="2063022864">
              <w:marLeft w:val="0"/>
              <w:marRight w:val="0"/>
              <w:marTop w:val="0"/>
              <w:marBottom w:val="0"/>
              <w:divBdr>
                <w:top w:val="none" w:sz="0" w:space="0" w:color="auto"/>
                <w:left w:val="none" w:sz="0" w:space="0" w:color="auto"/>
                <w:bottom w:val="none" w:sz="0" w:space="0" w:color="auto"/>
                <w:right w:val="none" w:sz="0" w:space="0" w:color="auto"/>
              </w:divBdr>
            </w:div>
            <w:div w:id="2132237456">
              <w:marLeft w:val="0"/>
              <w:marRight w:val="0"/>
              <w:marTop w:val="0"/>
              <w:marBottom w:val="0"/>
              <w:divBdr>
                <w:top w:val="none" w:sz="0" w:space="0" w:color="auto"/>
                <w:left w:val="none" w:sz="0" w:space="0" w:color="auto"/>
                <w:bottom w:val="none" w:sz="0" w:space="0" w:color="auto"/>
                <w:right w:val="none" w:sz="0" w:space="0" w:color="auto"/>
              </w:divBdr>
            </w:div>
            <w:div w:id="577130890">
              <w:marLeft w:val="0"/>
              <w:marRight w:val="0"/>
              <w:marTop w:val="0"/>
              <w:marBottom w:val="0"/>
              <w:divBdr>
                <w:top w:val="none" w:sz="0" w:space="0" w:color="auto"/>
                <w:left w:val="none" w:sz="0" w:space="0" w:color="auto"/>
                <w:bottom w:val="none" w:sz="0" w:space="0" w:color="auto"/>
                <w:right w:val="none" w:sz="0" w:space="0" w:color="auto"/>
              </w:divBdr>
            </w:div>
            <w:div w:id="2096392495">
              <w:marLeft w:val="0"/>
              <w:marRight w:val="0"/>
              <w:marTop w:val="0"/>
              <w:marBottom w:val="0"/>
              <w:divBdr>
                <w:top w:val="none" w:sz="0" w:space="0" w:color="auto"/>
                <w:left w:val="none" w:sz="0" w:space="0" w:color="auto"/>
                <w:bottom w:val="none" w:sz="0" w:space="0" w:color="auto"/>
                <w:right w:val="none" w:sz="0" w:space="0" w:color="auto"/>
              </w:divBdr>
            </w:div>
            <w:div w:id="356464120">
              <w:marLeft w:val="0"/>
              <w:marRight w:val="0"/>
              <w:marTop w:val="0"/>
              <w:marBottom w:val="0"/>
              <w:divBdr>
                <w:top w:val="none" w:sz="0" w:space="0" w:color="auto"/>
                <w:left w:val="none" w:sz="0" w:space="0" w:color="auto"/>
                <w:bottom w:val="none" w:sz="0" w:space="0" w:color="auto"/>
                <w:right w:val="none" w:sz="0" w:space="0" w:color="auto"/>
              </w:divBdr>
            </w:div>
            <w:div w:id="88283039">
              <w:marLeft w:val="0"/>
              <w:marRight w:val="0"/>
              <w:marTop w:val="0"/>
              <w:marBottom w:val="0"/>
              <w:divBdr>
                <w:top w:val="none" w:sz="0" w:space="0" w:color="auto"/>
                <w:left w:val="none" w:sz="0" w:space="0" w:color="auto"/>
                <w:bottom w:val="none" w:sz="0" w:space="0" w:color="auto"/>
                <w:right w:val="none" w:sz="0" w:space="0" w:color="auto"/>
              </w:divBdr>
            </w:div>
            <w:div w:id="960186064">
              <w:marLeft w:val="0"/>
              <w:marRight w:val="0"/>
              <w:marTop w:val="0"/>
              <w:marBottom w:val="0"/>
              <w:divBdr>
                <w:top w:val="none" w:sz="0" w:space="0" w:color="auto"/>
                <w:left w:val="none" w:sz="0" w:space="0" w:color="auto"/>
                <w:bottom w:val="none" w:sz="0" w:space="0" w:color="auto"/>
                <w:right w:val="none" w:sz="0" w:space="0" w:color="auto"/>
              </w:divBdr>
            </w:div>
            <w:div w:id="997538738">
              <w:marLeft w:val="0"/>
              <w:marRight w:val="0"/>
              <w:marTop w:val="0"/>
              <w:marBottom w:val="0"/>
              <w:divBdr>
                <w:top w:val="none" w:sz="0" w:space="0" w:color="auto"/>
                <w:left w:val="none" w:sz="0" w:space="0" w:color="auto"/>
                <w:bottom w:val="none" w:sz="0" w:space="0" w:color="auto"/>
                <w:right w:val="none" w:sz="0" w:space="0" w:color="auto"/>
              </w:divBdr>
            </w:div>
            <w:div w:id="720445292">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0"/>
              <w:divBdr>
                <w:top w:val="none" w:sz="0" w:space="0" w:color="auto"/>
                <w:left w:val="none" w:sz="0" w:space="0" w:color="auto"/>
                <w:bottom w:val="none" w:sz="0" w:space="0" w:color="auto"/>
                <w:right w:val="none" w:sz="0" w:space="0" w:color="auto"/>
              </w:divBdr>
            </w:div>
            <w:div w:id="338047176">
              <w:marLeft w:val="0"/>
              <w:marRight w:val="0"/>
              <w:marTop w:val="0"/>
              <w:marBottom w:val="0"/>
              <w:divBdr>
                <w:top w:val="none" w:sz="0" w:space="0" w:color="auto"/>
                <w:left w:val="none" w:sz="0" w:space="0" w:color="auto"/>
                <w:bottom w:val="none" w:sz="0" w:space="0" w:color="auto"/>
                <w:right w:val="none" w:sz="0" w:space="0" w:color="auto"/>
              </w:divBdr>
            </w:div>
            <w:div w:id="1831553488">
              <w:marLeft w:val="0"/>
              <w:marRight w:val="0"/>
              <w:marTop w:val="0"/>
              <w:marBottom w:val="0"/>
              <w:divBdr>
                <w:top w:val="none" w:sz="0" w:space="0" w:color="auto"/>
                <w:left w:val="none" w:sz="0" w:space="0" w:color="auto"/>
                <w:bottom w:val="none" w:sz="0" w:space="0" w:color="auto"/>
                <w:right w:val="none" w:sz="0" w:space="0" w:color="auto"/>
              </w:divBdr>
            </w:div>
            <w:div w:id="1255555876">
              <w:marLeft w:val="0"/>
              <w:marRight w:val="0"/>
              <w:marTop w:val="0"/>
              <w:marBottom w:val="0"/>
              <w:divBdr>
                <w:top w:val="none" w:sz="0" w:space="0" w:color="auto"/>
                <w:left w:val="none" w:sz="0" w:space="0" w:color="auto"/>
                <w:bottom w:val="none" w:sz="0" w:space="0" w:color="auto"/>
                <w:right w:val="none" w:sz="0" w:space="0" w:color="auto"/>
              </w:divBdr>
            </w:div>
            <w:div w:id="1610237398">
              <w:marLeft w:val="0"/>
              <w:marRight w:val="0"/>
              <w:marTop w:val="0"/>
              <w:marBottom w:val="0"/>
              <w:divBdr>
                <w:top w:val="none" w:sz="0" w:space="0" w:color="auto"/>
                <w:left w:val="none" w:sz="0" w:space="0" w:color="auto"/>
                <w:bottom w:val="none" w:sz="0" w:space="0" w:color="auto"/>
                <w:right w:val="none" w:sz="0" w:space="0" w:color="auto"/>
              </w:divBdr>
            </w:div>
            <w:div w:id="1217232206">
              <w:marLeft w:val="0"/>
              <w:marRight w:val="0"/>
              <w:marTop w:val="0"/>
              <w:marBottom w:val="0"/>
              <w:divBdr>
                <w:top w:val="none" w:sz="0" w:space="0" w:color="auto"/>
                <w:left w:val="none" w:sz="0" w:space="0" w:color="auto"/>
                <w:bottom w:val="none" w:sz="0" w:space="0" w:color="auto"/>
                <w:right w:val="none" w:sz="0" w:space="0" w:color="auto"/>
              </w:divBdr>
            </w:div>
            <w:div w:id="940378139">
              <w:marLeft w:val="0"/>
              <w:marRight w:val="0"/>
              <w:marTop w:val="0"/>
              <w:marBottom w:val="0"/>
              <w:divBdr>
                <w:top w:val="none" w:sz="0" w:space="0" w:color="auto"/>
                <w:left w:val="none" w:sz="0" w:space="0" w:color="auto"/>
                <w:bottom w:val="none" w:sz="0" w:space="0" w:color="auto"/>
                <w:right w:val="none" w:sz="0" w:space="0" w:color="auto"/>
              </w:divBdr>
            </w:div>
            <w:div w:id="143084666">
              <w:marLeft w:val="0"/>
              <w:marRight w:val="0"/>
              <w:marTop w:val="0"/>
              <w:marBottom w:val="0"/>
              <w:divBdr>
                <w:top w:val="none" w:sz="0" w:space="0" w:color="auto"/>
                <w:left w:val="none" w:sz="0" w:space="0" w:color="auto"/>
                <w:bottom w:val="none" w:sz="0" w:space="0" w:color="auto"/>
                <w:right w:val="none" w:sz="0" w:space="0" w:color="auto"/>
              </w:divBdr>
            </w:div>
            <w:div w:id="1930457142">
              <w:marLeft w:val="0"/>
              <w:marRight w:val="0"/>
              <w:marTop w:val="0"/>
              <w:marBottom w:val="0"/>
              <w:divBdr>
                <w:top w:val="none" w:sz="0" w:space="0" w:color="auto"/>
                <w:left w:val="none" w:sz="0" w:space="0" w:color="auto"/>
                <w:bottom w:val="none" w:sz="0" w:space="0" w:color="auto"/>
                <w:right w:val="none" w:sz="0" w:space="0" w:color="auto"/>
              </w:divBdr>
            </w:div>
          </w:divsChild>
        </w:div>
        <w:div w:id="1281844023">
          <w:marLeft w:val="0"/>
          <w:marRight w:val="0"/>
          <w:marTop w:val="0"/>
          <w:marBottom w:val="0"/>
          <w:divBdr>
            <w:top w:val="none" w:sz="0" w:space="0" w:color="auto"/>
            <w:left w:val="none" w:sz="0" w:space="0" w:color="auto"/>
            <w:bottom w:val="none" w:sz="0" w:space="0" w:color="auto"/>
            <w:right w:val="none" w:sz="0" w:space="0" w:color="auto"/>
          </w:divBdr>
        </w:div>
        <w:div w:id="1624192547">
          <w:marLeft w:val="0"/>
          <w:marRight w:val="0"/>
          <w:marTop w:val="0"/>
          <w:marBottom w:val="0"/>
          <w:divBdr>
            <w:top w:val="none" w:sz="0" w:space="0" w:color="auto"/>
            <w:left w:val="none" w:sz="0" w:space="0" w:color="auto"/>
            <w:bottom w:val="none" w:sz="0" w:space="0" w:color="auto"/>
            <w:right w:val="none" w:sz="0" w:space="0" w:color="auto"/>
          </w:divBdr>
        </w:div>
        <w:div w:id="2114548457">
          <w:marLeft w:val="0"/>
          <w:marRight w:val="0"/>
          <w:marTop w:val="0"/>
          <w:marBottom w:val="0"/>
          <w:divBdr>
            <w:top w:val="none" w:sz="0" w:space="0" w:color="auto"/>
            <w:left w:val="none" w:sz="0" w:space="0" w:color="auto"/>
            <w:bottom w:val="none" w:sz="0" w:space="0" w:color="auto"/>
            <w:right w:val="none" w:sz="0" w:space="0" w:color="auto"/>
          </w:divBdr>
        </w:div>
        <w:div w:id="189344829">
          <w:marLeft w:val="0"/>
          <w:marRight w:val="0"/>
          <w:marTop w:val="0"/>
          <w:marBottom w:val="0"/>
          <w:divBdr>
            <w:top w:val="none" w:sz="0" w:space="0" w:color="auto"/>
            <w:left w:val="none" w:sz="0" w:space="0" w:color="auto"/>
            <w:bottom w:val="none" w:sz="0" w:space="0" w:color="auto"/>
            <w:right w:val="none" w:sz="0" w:space="0" w:color="auto"/>
          </w:divBdr>
        </w:div>
        <w:div w:id="924873387">
          <w:marLeft w:val="0"/>
          <w:marRight w:val="0"/>
          <w:marTop w:val="0"/>
          <w:marBottom w:val="0"/>
          <w:divBdr>
            <w:top w:val="none" w:sz="0" w:space="0" w:color="auto"/>
            <w:left w:val="none" w:sz="0" w:space="0" w:color="auto"/>
            <w:bottom w:val="none" w:sz="0" w:space="0" w:color="auto"/>
            <w:right w:val="none" w:sz="0" w:space="0" w:color="auto"/>
          </w:divBdr>
        </w:div>
        <w:div w:id="1179925997">
          <w:marLeft w:val="0"/>
          <w:marRight w:val="0"/>
          <w:marTop w:val="0"/>
          <w:marBottom w:val="0"/>
          <w:divBdr>
            <w:top w:val="none" w:sz="0" w:space="0" w:color="auto"/>
            <w:left w:val="none" w:sz="0" w:space="0" w:color="auto"/>
            <w:bottom w:val="none" w:sz="0" w:space="0" w:color="auto"/>
            <w:right w:val="none" w:sz="0" w:space="0" w:color="auto"/>
          </w:divBdr>
        </w:div>
        <w:div w:id="1450930006">
          <w:marLeft w:val="0"/>
          <w:marRight w:val="0"/>
          <w:marTop w:val="0"/>
          <w:marBottom w:val="0"/>
          <w:divBdr>
            <w:top w:val="none" w:sz="0" w:space="0" w:color="auto"/>
            <w:left w:val="none" w:sz="0" w:space="0" w:color="auto"/>
            <w:bottom w:val="none" w:sz="0" w:space="0" w:color="auto"/>
            <w:right w:val="none" w:sz="0" w:space="0" w:color="auto"/>
          </w:divBdr>
        </w:div>
        <w:div w:id="1543593214">
          <w:marLeft w:val="0"/>
          <w:marRight w:val="0"/>
          <w:marTop w:val="0"/>
          <w:marBottom w:val="0"/>
          <w:divBdr>
            <w:top w:val="none" w:sz="0" w:space="0" w:color="auto"/>
            <w:left w:val="none" w:sz="0" w:space="0" w:color="auto"/>
            <w:bottom w:val="none" w:sz="0" w:space="0" w:color="auto"/>
            <w:right w:val="none" w:sz="0" w:space="0" w:color="auto"/>
          </w:divBdr>
        </w:div>
        <w:div w:id="821237104">
          <w:marLeft w:val="0"/>
          <w:marRight w:val="0"/>
          <w:marTop w:val="0"/>
          <w:marBottom w:val="0"/>
          <w:divBdr>
            <w:top w:val="none" w:sz="0" w:space="0" w:color="auto"/>
            <w:left w:val="none" w:sz="0" w:space="0" w:color="auto"/>
            <w:bottom w:val="none" w:sz="0" w:space="0" w:color="auto"/>
            <w:right w:val="none" w:sz="0" w:space="0" w:color="auto"/>
          </w:divBdr>
        </w:div>
        <w:div w:id="1753308267">
          <w:marLeft w:val="0"/>
          <w:marRight w:val="0"/>
          <w:marTop w:val="0"/>
          <w:marBottom w:val="0"/>
          <w:divBdr>
            <w:top w:val="none" w:sz="0" w:space="0" w:color="auto"/>
            <w:left w:val="none" w:sz="0" w:space="0" w:color="auto"/>
            <w:bottom w:val="none" w:sz="0" w:space="0" w:color="auto"/>
            <w:right w:val="none" w:sz="0" w:space="0" w:color="auto"/>
          </w:divBdr>
        </w:div>
        <w:div w:id="163908243">
          <w:marLeft w:val="0"/>
          <w:marRight w:val="0"/>
          <w:marTop w:val="0"/>
          <w:marBottom w:val="0"/>
          <w:divBdr>
            <w:top w:val="none" w:sz="0" w:space="0" w:color="auto"/>
            <w:left w:val="none" w:sz="0" w:space="0" w:color="auto"/>
            <w:bottom w:val="none" w:sz="0" w:space="0" w:color="auto"/>
            <w:right w:val="none" w:sz="0" w:space="0" w:color="auto"/>
          </w:divBdr>
        </w:div>
        <w:div w:id="838082842">
          <w:marLeft w:val="0"/>
          <w:marRight w:val="0"/>
          <w:marTop w:val="0"/>
          <w:marBottom w:val="0"/>
          <w:divBdr>
            <w:top w:val="none" w:sz="0" w:space="0" w:color="auto"/>
            <w:left w:val="none" w:sz="0" w:space="0" w:color="auto"/>
            <w:bottom w:val="none" w:sz="0" w:space="0" w:color="auto"/>
            <w:right w:val="none" w:sz="0" w:space="0" w:color="auto"/>
          </w:divBdr>
        </w:div>
        <w:div w:id="2094887967">
          <w:marLeft w:val="0"/>
          <w:marRight w:val="0"/>
          <w:marTop w:val="0"/>
          <w:marBottom w:val="0"/>
          <w:divBdr>
            <w:top w:val="none" w:sz="0" w:space="0" w:color="auto"/>
            <w:left w:val="none" w:sz="0" w:space="0" w:color="auto"/>
            <w:bottom w:val="none" w:sz="0" w:space="0" w:color="auto"/>
            <w:right w:val="none" w:sz="0" w:space="0" w:color="auto"/>
          </w:divBdr>
        </w:div>
        <w:div w:id="14355601">
          <w:marLeft w:val="0"/>
          <w:marRight w:val="0"/>
          <w:marTop w:val="0"/>
          <w:marBottom w:val="0"/>
          <w:divBdr>
            <w:top w:val="none" w:sz="0" w:space="0" w:color="auto"/>
            <w:left w:val="none" w:sz="0" w:space="0" w:color="auto"/>
            <w:bottom w:val="none" w:sz="0" w:space="0" w:color="auto"/>
            <w:right w:val="none" w:sz="0" w:space="0" w:color="auto"/>
          </w:divBdr>
        </w:div>
        <w:div w:id="562448514">
          <w:marLeft w:val="0"/>
          <w:marRight w:val="0"/>
          <w:marTop w:val="0"/>
          <w:marBottom w:val="0"/>
          <w:divBdr>
            <w:top w:val="none" w:sz="0" w:space="0" w:color="auto"/>
            <w:left w:val="none" w:sz="0" w:space="0" w:color="auto"/>
            <w:bottom w:val="none" w:sz="0" w:space="0" w:color="auto"/>
            <w:right w:val="none" w:sz="0" w:space="0" w:color="auto"/>
          </w:divBdr>
        </w:div>
        <w:div w:id="1180974901">
          <w:marLeft w:val="0"/>
          <w:marRight w:val="0"/>
          <w:marTop w:val="0"/>
          <w:marBottom w:val="0"/>
          <w:divBdr>
            <w:top w:val="none" w:sz="0" w:space="0" w:color="auto"/>
            <w:left w:val="none" w:sz="0" w:space="0" w:color="auto"/>
            <w:bottom w:val="none" w:sz="0" w:space="0" w:color="auto"/>
            <w:right w:val="none" w:sz="0" w:space="0" w:color="auto"/>
          </w:divBdr>
        </w:div>
        <w:div w:id="2064400292">
          <w:marLeft w:val="0"/>
          <w:marRight w:val="0"/>
          <w:marTop w:val="0"/>
          <w:marBottom w:val="0"/>
          <w:divBdr>
            <w:top w:val="none" w:sz="0" w:space="0" w:color="auto"/>
            <w:left w:val="none" w:sz="0" w:space="0" w:color="auto"/>
            <w:bottom w:val="none" w:sz="0" w:space="0" w:color="auto"/>
            <w:right w:val="none" w:sz="0" w:space="0" w:color="auto"/>
          </w:divBdr>
        </w:div>
        <w:div w:id="402531793">
          <w:marLeft w:val="0"/>
          <w:marRight w:val="0"/>
          <w:marTop w:val="0"/>
          <w:marBottom w:val="0"/>
          <w:divBdr>
            <w:top w:val="none" w:sz="0" w:space="0" w:color="auto"/>
            <w:left w:val="none" w:sz="0" w:space="0" w:color="auto"/>
            <w:bottom w:val="none" w:sz="0" w:space="0" w:color="auto"/>
            <w:right w:val="none" w:sz="0" w:space="0" w:color="auto"/>
          </w:divBdr>
        </w:div>
        <w:div w:id="1608544204">
          <w:marLeft w:val="0"/>
          <w:marRight w:val="0"/>
          <w:marTop w:val="0"/>
          <w:marBottom w:val="0"/>
          <w:divBdr>
            <w:top w:val="none" w:sz="0" w:space="0" w:color="auto"/>
            <w:left w:val="none" w:sz="0" w:space="0" w:color="auto"/>
            <w:bottom w:val="none" w:sz="0" w:space="0" w:color="auto"/>
            <w:right w:val="none" w:sz="0" w:space="0" w:color="auto"/>
          </w:divBdr>
        </w:div>
        <w:div w:id="88280243">
          <w:marLeft w:val="0"/>
          <w:marRight w:val="0"/>
          <w:marTop w:val="0"/>
          <w:marBottom w:val="0"/>
          <w:divBdr>
            <w:top w:val="none" w:sz="0" w:space="0" w:color="auto"/>
            <w:left w:val="none" w:sz="0" w:space="0" w:color="auto"/>
            <w:bottom w:val="none" w:sz="0" w:space="0" w:color="auto"/>
            <w:right w:val="none" w:sz="0" w:space="0" w:color="auto"/>
          </w:divBdr>
        </w:div>
        <w:div w:id="895046753">
          <w:marLeft w:val="0"/>
          <w:marRight w:val="0"/>
          <w:marTop w:val="0"/>
          <w:marBottom w:val="0"/>
          <w:divBdr>
            <w:top w:val="none" w:sz="0" w:space="0" w:color="auto"/>
            <w:left w:val="none" w:sz="0" w:space="0" w:color="auto"/>
            <w:bottom w:val="none" w:sz="0" w:space="0" w:color="auto"/>
            <w:right w:val="none" w:sz="0" w:space="0" w:color="auto"/>
          </w:divBdr>
        </w:div>
        <w:div w:id="718087514">
          <w:marLeft w:val="0"/>
          <w:marRight w:val="0"/>
          <w:marTop w:val="0"/>
          <w:marBottom w:val="0"/>
          <w:divBdr>
            <w:top w:val="none" w:sz="0" w:space="0" w:color="auto"/>
            <w:left w:val="none" w:sz="0" w:space="0" w:color="auto"/>
            <w:bottom w:val="none" w:sz="0" w:space="0" w:color="auto"/>
            <w:right w:val="none" w:sz="0" w:space="0" w:color="auto"/>
          </w:divBdr>
        </w:div>
        <w:div w:id="121466511">
          <w:marLeft w:val="0"/>
          <w:marRight w:val="0"/>
          <w:marTop w:val="0"/>
          <w:marBottom w:val="0"/>
          <w:divBdr>
            <w:top w:val="none" w:sz="0" w:space="0" w:color="auto"/>
            <w:left w:val="none" w:sz="0" w:space="0" w:color="auto"/>
            <w:bottom w:val="none" w:sz="0" w:space="0" w:color="auto"/>
            <w:right w:val="none" w:sz="0" w:space="0" w:color="auto"/>
          </w:divBdr>
        </w:div>
        <w:div w:id="521669427">
          <w:marLeft w:val="0"/>
          <w:marRight w:val="0"/>
          <w:marTop w:val="0"/>
          <w:marBottom w:val="0"/>
          <w:divBdr>
            <w:top w:val="none" w:sz="0" w:space="0" w:color="auto"/>
            <w:left w:val="none" w:sz="0" w:space="0" w:color="auto"/>
            <w:bottom w:val="none" w:sz="0" w:space="0" w:color="auto"/>
            <w:right w:val="none" w:sz="0" w:space="0" w:color="auto"/>
          </w:divBdr>
        </w:div>
      </w:divsChild>
    </w:div>
    <w:div w:id="630132330">
      <w:bodyDiv w:val="1"/>
      <w:marLeft w:val="0"/>
      <w:marRight w:val="0"/>
      <w:marTop w:val="0"/>
      <w:marBottom w:val="0"/>
      <w:divBdr>
        <w:top w:val="none" w:sz="0" w:space="0" w:color="auto"/>
        <w:left w:val="none" w:sz="0" w:space="0" w:color="auto"/>
        <w:bottom w:val="none" w:sz="0" w:space="0" w:color="auto"/>
        <w:right w:val="none" w:sz="0" w:space="0" w:color="auto"/>
      </w:divBdr>
    </w:div>
    <w:div w:id="676621198">
      <w:bodyDiv w:val="1"/>
      <w:marLeft w:val="0"/>
      <w:marRight w:val="0"/>
      <w:marTop w:val="0"/>
      <w:marBottom w:val="0"/>
      <w:divBdr>
        <w:top w:val="none" w:sz="0" w:space="0" w:color="auto"/>
        <w:left w:val="none" w:sz="0" w:space="0" w:color="auto"/>
        <w:bottom w:val="none" w:sz="0" w:space="0" w:color="auto"/>
        <w:right w:val="none" w:sz="0" w:space="0" w:color="auto"/>
      </w:divBdr>
      <w:divsChild>
        <w:div w:id="1998536537">
          <w:marLeft w:val="0"/>
          <w:marRight w:val="0"/>
          <w:marTop w:val="0"/>
          <w:marBottom w:val="0"/>
          <w:divBdr>
            <w:top w:val="none" w:sz="0" w:space="0" w:color="auto"/>
            <w:left w:val="none" w:sz="0" w:space="0" w:color="auto"/>
            <w:bottom w:val="none" w:sz="0" w:space="0" w:color="auto"/>
            <w:right w:val="none" w:sz="0" w:space="0" w:color="auto"/>
          </w:divBdr>
        </w:div>
        <w:div w:id="1437946174">
          <w:marLeft w:val="0"/>
          <w:marRight w:val="0"/>
          <w:marTop w:val="0"/>
          <w:marBottom w:val="0"/>
          <w:divBdr>
            <w:top w:val="none" w:sz="0" w:space="0" w:color="auto"/>
            <w:left w:val="none" w:sz="0" w:space="0" w:color="auto"/>
            <w:bottom w:val="none" w:sz="0" w:space="0" w:color="auto"/>
            <w:right w:val="none" w:sz="0" w:space="0" w:color="auto"/>
          </w:divBdr>
        </w:div>
        <w:div w:id="1218319944">
          <w:marLeft w:val="0"/>
          <w:marRight w:val="0"/>
          <w:marTop w:val="0"/>
          <w:marBottom w:val="0"/>
          <w:divBdr>
            <w:top w:val="none" w:sz="0" w:space="0" w:color="auto"/>
            <w:left w:val="none" w:sz="0" w:space="0" w:color="auto"/>
            <w:bottom w:val="none" w:sz="0" w:space="0" w:color="auto"/>
            <w:right w:val="none" w:sz="0" w:space="0" w:color="auto"/>
          </w:divBdr>
        </w:div>
        <w:div w:id="618149341">
          <w:marLeft w:val="0"/>
          <w:marRight w:val="0"/>
          <w:marTop w:val="0"/>
          <w:marBottom w:val="0"/>
          <w:divBdr>
            <w:top w:val="none" w:sz="0" w:space="0" w:color="auto"/>
            <w:left w:val="none" w:sz="0" w:space="0" w:color="auto"/>
            <w:bottom w:val="none" w:sz="0" w:space="0" w:color="auto"/>
            <w:right w:val="none" w:sz="0" w:space="0" w:color="auto"/>
          </w:divBdr>
        </w:div>
        <w:div w:id="474958216">
          <w:marLeft w:val="0"/>
          <w:marRight w:val="0"/>
          <w:marTop w:val="0"/>
          <w:marBottom w:val="0"/>
          <w:divBdr>
            <w:top w:val="none" w:sz="0" w:space="0" w:color="auto"/>
            <w:left w:val="none" w:sz="0" w:space="0" w:color="auto"/>
            <w:bottom w:val="none" w:sz="0" w:space="0" w:color="auto"/>
            <w:right w:val="none" w:sz="0" w:space="0" w:color="auto"/>
          </w:divBdr>
        </w:div>
        <w:div w:id="12014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F7A833861814BA241A34D8EC24DA8" ma:contentTypeVersion="17" ma:contentTypeDescription="Create a new document." ma:contentTypeScope="" ma:versionID="6f82b86d77b99a07116ef5871d2d08fa">
  <xsd:schema xmlns:xsd="http://www.w3.org/2001/XMLSchema" xmlns:xs="http://www.w3.org/2001/XMLSchema" xmlns:p="http://schemas.microsoft.com/office/2006/metadata/properties" xmlns:ns3="bc019a3d-8432-4b98-8f8f-f439765c3216" xmlns:ns4="db89723c-164e-4e0b-a46a-31141320e380" targetNamespace="http://schemas.microsoft.com/office/2006/metadata/properties" ma:root="true" ma:fieldsID="3cc9f74ad16adc49c311f83469cbaaa6" ns3:_="" ns4:_="">
    <xsd:import namespace="bc019a3d-8432-4b98-8f8f-f439765c3216"/>
    <xsd:import namespace="db89723c-164e-4e0b-a46a-31141320e3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9a3d-8432-4b98-8f8f-f439765c32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723c-164e-4e0b-a46a-31141320e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89723c-164e-4e0b-a46a-31141320e3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DD925-7542-4254-9A48-A47ADAD2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9a3d-8432-4b98-8f8f-f439765c3216"/>
    <ds:schemaRef ds:uri="db89723c-164e-4e0b-a46a-31141320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1CDB4-5BF9-4CBB-A11A-0DD047BDD649}">
  <ds:schemaRefs>
    <ds:schemaRef ds:uri="http://schemas.microsoft.com/sharepoint/v3/contenttype/forms"/>
  </ds:schemaRefs>
</ds:datastoreItem>
</file>

<file path=customXml/itemProps3.xml><?xml version="1.0" encoding="utf-8"?>
<ds:datastoreItem xmlns:ds="http://schemas.openxmlformats.org/officeDocument/2006/customXml" ds:itemID="{44A4E5CA-10FF-43BA-BA72-CABA2B3B2887}">
  <ds:schemaRef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bc019a3d-8432-4b98-8f8f-f439765c3216"/>
    <ds:schemaRef ds:uri="http://schemas.microsoft.com/office/infopath/2007/PartnerControls"/>
    <ds:schemaRef ds:uri="db89723c-164e-4e0b-a46a-31141320e380"/>
    <ds:schemaRef ds:uri="http://schemas.microsoft.com/office/2006/metadata/properties"/>
  </ds:schemaRefs>
</ds:datastoreItem>
</file>

<file path=customXml/itemProps4.xml><?xml version="1.0" encoding="utf-8"?>
<ds:datastoreItem xmlns:ds="http://schemas.openxmlformats.org/officeDocument/2006/customXml" ds:itemID="{7B0B9A84-A4BC-4014-8515-A04F121F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Wythenshawe Community Housing Group</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Gumsley</dc:creator>
  <cp:keywords/>
  <dc:description/>
  <cp:lastModifiedBy>Anna Wood</cp:lastModifiedBy>
  <cp:revision>3</cp:revision>
  <dcterms:created xsi:type="dcterms:W3CDTF">2025-02-20T12:55:00Z</dcterms:created>
  <dcterms:modified xsi:type="dcterms:W3CDTF">2025-02-24T15:37:00Z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0x010100888F7A833861814BA241A34D8EC24DA8</vt:lpwstr>
  </property>
</Properties>
</file>