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29AE" w14:textId="77777777" w:rsidR="00287A60" w:rsidRPr="00287A60" w:rsidRDefault="00287A60" w:rsidP="00287A60">
      <w:r w:rsidRPr="00287A60">
        <w:rPr>
          <w:b/>
          <w:bCs/>
        </w:rPr>
        <w:t>Service Charges – How We Have Estimated Your Charges for 2025/26</w:t>
      </w:r>
    </w:p>
    <w:p w14:paraId="7ED8CFE0" w14:textId="77777777" w:rsidR="00287A60" w:rsidRPr="00287A60" w:rsidRDefault="00287A60" w:rsidP="00287A60">
      <w:r w:rsidRPr="00287A60">
        <w:t>We have calculated your estimated service charges for the financial year from 1st April 2025 to 31st March 2026. You’ll find these charges on the enclosed statement, which we must call a “Demand for Payment” to follow official rules. Here’s how we worked them out:</w:t>
      </w:r>
    </w:p>
    <w:p w14:paraId="5EABB225" w14:textId="77777777" w:rsidR="00287A60" w:rsidRPr="00287A60" w:rsidRDefault="00287A60" w:rsidP="00287A60">
      <w:pPr>
        <w:numPr>
          <w:ilvl w:val="0"/>
          <w:numId w:val="1"/>
        </w:numPr>
      </w:pPr>
      <w:r w:rsidRPr="00287A60">
        <w:rPr>
          <w:b/>
          <w:bCs/>
        </w:rPr>
        <w:t>Looking at last year’s costs</w:t>
      </w:r>
      <w:r w:rsidRPr="00287A60">
        <w:br/>
        <w:t>We started with the actual costs from the year ending 31st March 2024, which we shared with you in September 2024.</w:t>
      </w:r>
    </w:p>
    <w:p w14:paraId="7BDE1353" w14:textId="77777777" w:rsidR="00287A60" w:rsidRPr="00287A60" w:rsidRDefault="00287A60" w:rsidP="00287A60">
      <w:pPr>
        <w:numPr>
          <w:ilvl w:val="0"/>
          <w:numId w:val="1"/>
        </w:numPr>
      </w:pPr>
      <w:r w:rsidRPr="00287A60">
        <w:rPr>
          <w:b/>
          <w:bCs/>
        </w:rPr>
        <w:t>Adjusting for one-off expenses</w:t>
      </w:r>
      <w:r w:rsidRPr="00287A60">
        <w:br/>
        <w:t>We removed any big, one-off costs that are unlikely to happen again, such as major repairs. This helps make the estimate more accurate for the coming year.</w:t>
      </w:r>
    </w:p>
    <w:p w14:paraId="119847D9" w14:textId="77777777" w:rsidR="00287A60" w:rsidRPr="00287A60" w:rsidRDefault="00287A60" w:rsidP="00287A60">
      <w:pPr>
        <w:numPr>
          <w:ilvl w:val="0"/>
          <w:numId w:val="1"/>
        </w:numPr>
      </w:pPr>
      <w:r w:rsidRPr="00287A60">
        <w:rPr>
          <w:b/>
          <w:bCs/>
        </w:rPr>
        <w:t>Factoring in inflation</w:t>
      </w:r>
      <w:r w:rsidRPr="00287A60">
        <w:br/>
        <w:t>We used the government’s inflation estimates from the October 2024 budget.</w:t>
      </w:r>
    </w:p>
    <w:p w14:paraId="1A090A81" w14:textId="77777777" w:rsidR="00287A60" w:rsidRPr="00287A60" w:rsidRDefault="00287A60" w:rsidP="00287A60">
      <w:pPr>
        <w:numPr>
          <w:ilvl w:val="0"/>
          <w:numId w:val="1"/>
        </w:numPr>
      </w:pPr>
      <w:r w:rsidRPr="00287A60">
        <w:rPr>
          <w:b/>
          <w:bCs/>
        </w:rPr>
        <w:t>Accounting for other cost increases</w:t>
      </w:r>
      <w:r w:rsidRPr="00287A60">
        <w:br/>
        <w:t>We considered known cost rises, like payroll costs, which will go up due to changes in Employer’s National Insurance Contributions announced in the October 2024 budget.</w:t>
      </w:r>
    </w:p>
    <w:p w14:paraId="67E4B2F4" w14:textId="77777777" w:rsidR="00287A60" w:rsidRPr="00287A60" w:rsidRDefault="00287A60" w:rsidP="00287A60">
      <w:pPr>
        <w:numPr>
          <w:ilvl w:val="0"/>
          <w:numId w:val="1"/>
        </w:numPr>
      </w:pPr>
      <w:r w:rsidRPr="00287A60">
        <w:rPr>
          <w:b/>
          <w:bCs/>
        </w:rPr>
        <w:t>Buildings insurance costs</w:t>
      </w:r>
      <w:r w:rsidRPr="00287A60">
        <w:br/>
        <w:t>If you are a Leaseholder or Shared Owner who pays for buildings insurance, we have used the property-specific premium provided by our insurers. This follows new rules from the Financial Conduct Authority (FCA).</w:t>
      </w:r>
    </w:p>
    <w:p w14:paraId="4BB22E68" w14:textId="77777777" w:rsidR="00287A60" w:rsidRPr="00287A60" w:rsidRDefault="00287A60" w:rsidP="00287A60">
      <w:pPr>
        <w:numPr>
          <w:ilvl w:val="1"/>
          <w:numId w:val="1"/>
        </w:numPr>
      </w:pPr>
      <w:r w:rsidRPr="00287A60">
        <w:t>In previous years, we split insurance costs equally across all properties. Last year, this was £87 per property. This year, your charge is based on your property’s specific premium, with an estimated 2.3% increase for inflation.</w:t>
      </w:r>
    </w:p>
    <w:p w14:paraId="0DAB179D" w14:textId="77777777" w:rsidR="00287A60" w:rsidRPr="00287A60" w:rsidRDefault="00287A60" w:rsidP="00287A60">
      <w:pPr>
        <w:numPr>
          <w:ilvl w:val="1"/>
          <w:numId w:val="1"/>
        </w:numPr>
      </w:pPr>
      <w:r w:rsidRPr="00287A60">
        <w:t>This insurance only covers the building—you still need separate contents insurance.</w:t>
      </w:r>
    </w:p>
    <w:p w14:paraId="77B58E9D" w14:textId="77777777" w:rsidR="00287A60" w:rsidRPr="00287A60" w:rsidRDefault="00287A60" w:rsidP="00287A60">
      <w:pPr>
        <w:numPr>
          <w:ilvl w:val="1"/>
          <w:numId w:val="1"/>
        </w:numPr>
      </w:pPr>
      <w:r w:rsidRPr="00287A60">
        <w:t>Our group-arranged insurance remains competitively priced compared to policies found on comparison websites.</w:t>
      </w:r>
    </w:p>
    <w:p w14:paraId="0B2D202A" w14:textId="77777777" w:rsidR="00287A60" w:rsidRPr="00287A60" w:rsidRDefault="00287A60" w:rsidP="00287A60">
      <w:pPr>
        <w:numPr>
          <w:ilvl w:val="1"/>
          <w:numId w:val="1"/>
        </w:numPr>
      </w:pPr>
      <w:r w:rsidRPr="00287A60">
        <w:t>If you need to make a claim, we will support you through the process.</w:t>
      </w:r>
    </w:p>
    <w:p w14:paraId="5D3799F0" w14:textId="77777777" w:rsidR="00287A60" w:rsidRPr="00287A60" w:rsidRDefault="00287A60" w:rsidP="00287A60">
      <w:pPr>
        <w:numPr>
          <w:ilvl w:val="0"/>
          <w:numId w:val="1"/>
        </w:numPr>
      </w:pPr>
      <w:r w:rsidRPr="00287A60">
        <w:rPr>
          <w:b/>
          <w:bCs/>
        </w:rPr>
        <w:t>Adding the management charge</w:t>
      </w:r>
      <w:r w:rsidRPr="00287A60">
        <w:br/>
        <w:t xml:space="preserve">Finally, we </w:t>
      </w:r>
      <w:proofErr w:type="gramStart"/>
      <w:r w:rsidRPr="00287A60">
        <w:t>combined</w:t>
      </w:r>
      <w:proofErr w:type="gramEnd"/>
      <w:r w:rsidRPr="00287A60">
        <w:t xml:space="preserve"> all these factors to estimate your total service charge for the year. We also included a management charge, which helps cover the costs of delivering these services.</w:t>
      </w:r>
    </w:p>
    <w:p w14:paraId="39196C3F" w14:textId="77777777" w:rsidR="00287A60" w:rsidRPr="00287A60" w:rsidRDefault="00287A60" w:rsidP="00287A60">
      <w:pPr>
        <w:rPr>
          <w:b/>
          <w:bCs/>
        </w:rPr>
      </w:pPr>
      <w:r w:rsidRPr="00287A60">
        <w:rPr>
          <w:b/>
          <w:bCs/>
        </w:rPr>
        <w:lastRenderedPageBreak/>
        <w:t>Important Notes</w:t>
      </w:r>
    </w:p>
    <w:p w14:paraId="1F5A817C" w14:textId="77777777" w:rsidR="00287A60" w:rsidRPr="00287A60" w:rsidRDefault="00287A60" w:rsidP="00287A60">
      <w:pPr>
        <w:numPr>
          <w:ilvl w:val="0"/>
          <w:numId w:val="2"/>
        </w:numPr>
      </w:pPr>
      <w:r w:rsidRPr="00287A60">
        <w:rPr>
          <w:b/>
          <w:bCs/>
        </w:rPr>
        <w:t>This is an estimate.</w:t>
      </w:r>
      <w:r w:rsidRPr="00287A60">
        <w:t xml:space="preserve"> Some unexpected costs could arise, like a lift breakdown, a global event affecting fuel prices, or a shortage of materials. Since we can’t predict these events, we haven’t included them in this estimate.</w:t>
      </w:r>
    </w:p>
    <w:p w14:paraId="6E26284B" w14:textId="77777777" w:rsidR="00287A60" w:rsidRPr="00287A60" w:rsidRDefault="00287A60" w:rsidP="00287A60">
      <w:pPr>
        <w:numPr>
          <w:ilvl w:val="0"/>
          <w:numId w:val="2"/>
        </w:numPr>
      </w:pPr>
      <w:r w:rsidRPr="00287A60">
        <w:rPr>
          <w:b/>
          <w:bCs/>
        </w:rPr>
        <w:t>Adjustments in September.</w:t>
      </w:r>
      <w:r w:rsidRPr="00287A60">
        <w:t xml:space="preserve"> In September 2026, we’ll compare the actual costs with this estimate. If we </w:t>
      </w:r>
      <w:proofErr w:type="gramStart"/>
      <w:r w:rsidRPr="00287A60">
        <w:t>charged</w:t>
      </w:r>
      <w:proofErr w:type="gramEnd"/>
      <w:r w:rsidRPr="00287A60">
        <w:t xml:space="preserve"> you too little, we may ask you to pay the difference. If we overestimated, we </w:t>
      </w:r>
      <w:proofErr w:type="gramStart"/>
      <w:r w:rsidRPr="00287A60">
        <w:t>will</w:t>
      </w:r>
      <w:proofErr w:type="gramEnd"/>
      <w:r w:rsidRPr="00287A60">
        <w:t xml:space="preserve"> credit your account.</w:t>
      </w:r>
    </w:p>
    <w:p w14:paraId="48E4B291" w14:textId="77777777" w:rsidR="00287A60" w:rsidRPr="00287A60" w:rsidRDefault="00287A60" w:rsidP="00287A60">
      <w:pPr>
        <w:numPr>
          <w:ilvl w:val="0"/>
          <w:numId w:val="2"/>
        </w:numPr>
      </w:pPr>
      <w:r w:rsidRPr="00287A60">
        <w:rPr>
          <w:b/>
          <w:bCs/>
        </w:rPr>
        <w:t>This is a common process.</w:t>
      </w:r>
      <w:r w:rsidRPr="00287A60">
        <w:t xml:space="preserve"> Many service providers, like gas and electricity companies, work in a similar </w:t>
      </w:r>
      <w:proofErr w:type="gramStart"/>
      <w:r w:rsidRPr="00287A60">
        <w:t>way—</w:t>
      </w:r>
      <w:proofErr w:type="gramEnd"/>
      <w:r w:rsidRPr="00287A60">
        <w:t>charging a fixed amount throughout the year and adjusting for any differences later.</w:t>
      </w:r>
    </w:p>
    <w:p w14:paraId="08A33F1E" w14:textId="77777777" w:rsidR="00287A60" w:rsidRPr="00287A60" w:rsidRDefault="00287A60" w:rsidP="00287A60">
      <w:r w:rsidRPr="00287A60">
        <w:t xml:space="preserve">For more details about your service charge, visit </w:t>
      </w:r>
      <w:r w:rsidRPr="00287A60">
        <w:rPr>
          <w:b/>
          <w:bCs/>
        </w:rPr>
        <w:t>www.wchg.org.uk/being-a-leaseholder</w:t>
      </w:r>
      <w:r w:rsidRPr="00287A60">
        <w:t>.</w:t>
      </w:r>
    </w:p>
    <w:p w14:paraId="38172ACB" w14:textId="77777777" w:rsidR="00EC6959" w:rsidRDefault="00EC6959"/>
    <w:sectPr w:rsidR="00EC6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65115"/>
    <w:multiLevelType w:val="multilevel"/>
    <w:tmpl w:val="CE6CA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F707D2"/>
    <w:multiLevelType w:val="multilevel"/>
    <w:tmpl w:val="54FE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887931">
    <w:abstractNumId w:val="0"/>
  </w:num>
  <w:num w:numId="2" w16cid:durableId="235432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60"/>
    <w:rsid w:val="00287A60"/>
    <w:rsid w:val="00E850B6"/>
    <w:rsid w:val="00E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DA834"/>
  <w15:chartTrackingRefBased/>
  <w15:docId w15:val="{85784AFC-E98E-4F1A-A2BA-7B1C44C5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A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A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A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A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Marwood</dc:creator>
  <cp:keywords/>
  <dc:description/>
  <cp:lastModifiedBy>Jane Marwood</cp:lastModifiedBy>
  <cp:revision>1</cp:revision>
  <dcterms:created xsi:type="dcterms:W3CDTF">2025-02-12T14:52:00Z</dcterms:created>
  <dcterms:modified xsi:type="dcterms:W3CDTF">2025-02-12T14:54:00Z</dcterms:modified>
</cp:coreProperties>
</file>